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1.xml" ContentType="application/vnd.openxmlformats-officedocument.theme+xml"/>
  <Override PartName="/word/charts/style2.xml" ContentType="application/vnd.ms-office.chartstyle+xml"/>
  <Override PartName="/word/charts/colors2.xml" ContentType="application/vnd.ms-office.chartcolorstyl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0943D" w14:textId="77777777" w:rsidR="00261281" w:rsidRDefault="00A954E6" w:rsidP="006D2B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ANÁLISIS </w:t>
      </w:r>
      <w:r w:rsidR="006D2B76" w:rsidRPr="006D2B76">
        <w:rPr>
          <w:rFonts w:ascii="Times New Roman" w:hAnsi="Times New Roman" w:cs="Times New Roman"/>
          <w:b/>
          <w:sz w:val="24"/>
          <w:szCs w:val="24"/>
        </w:rPr>
        <w:t>ENCUESTA</w:t>
      </w:r>
      <w:r w:rsidR="001E66E9">
        <w:rPr>
          <w:rFonts w:ascii="Times New Roman" w:hAnsi="Times New Roman" w:cs="Times New Roman"/>
          <w:b/>
          <w:sz w:val="24"/>
          <w:szCs w:val="24"/>
        </w:rPr>
        <w:t>S</w:t>
      </w:r>
      <w:r w:rsidR="006D2B76" w:rsidRPr="006D2B76">
        <w:rPr>
          <w:rFonts w:ascii="Times New Roman" w:hAnsi="Times New Roman" w:cs="Times New Roman"/>
          <w:b/>
          <w:sz w:val="24"/>
          <w:szCs w:val="24"/>
        </w:rPr>
        <w:t xml:space="preserve"> DE SATISFACCIÓN Y PERCEPCIÓN </w:t>
      </w:r>
      <w:r w:rsidR="00261281" w:rsidRPr="006D2B76">
        <w:rPr>
          <w:rFonts w:ascii="Times New Roman" w:hAnsi="Times New Roman" w:cs="Times New Roman"/>
          <w:b/>
          <w:sz w:val="24"/>
          <w:szCs w:val="24"/>
        </w:rPr>
        <w:t>DEL SERVICIO</w:t>
      </w:r>
    </w:p>
    <w:p w14:paraId="0443E8E4" w14:textId="77777777" w:rsidR="00A954E6" w:rsidRDefault="00A954E6" w:rsidP="006D2B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AGENCIA NACIONAL DE HIDROCARBUROS -ANH- </w:t>
      </w:r>
    </w:p>
    <w:p w14:paraId="3C4A28B4" w14:textId="2D748938" w:rsidR="00A954E6" w:rsidRPr="006D2B76" w:rsidRDefault="00A954E6" w:rsidP="006D2B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F5E5A">
        <w:rPr>
          <w:rFonts w:ascii="Times New Roman" w:hAnsi="Times New Roman" w:cs="Times New Roman"/>
          <w:b/>
          <w:sz w:val="24"/>
          <w:szCs w:val="24"/>
        </w:rPr>
        <w:t>9</w:t>
      </w:r>
    </w:p>
    <w:p w14:paraId="04084BE0" w14:textId="77777777" w:rsidR="0022357F" w:rsidRDefault="001E66E9" w:rsidP="00B27F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BB2">
        <w:rPr>
          <w:rFonts w:ascii="Times New Roman" w:hAnsi="Times New Roman" w:cs="Times New Roman"/>
          <w:sz w:val="24"/>
          <w:szCs w:val="24"/>
        </w:rPr>
        <w:t>Para la Agencia Nacional de Hidrocarburos es de gran importancia conocer la opinión de nuestros usuarios</w:t>
      </w:r>
      <w:r w:rsidR="00303BDD">
        <w:rPr>
          <w:rFonts w:ascii="Times New Roman" w:hAnsi="Times New Roman" w:cs="Times New Roman"/>
          <w:sz w:val="24"/>
          <w:szCs w:val="24"/>
        </w:rPr>
        <w:t xml:space="preserve"> tanto internos como externos</w:t>
      </w:r>
      <w:r w:rsidRPr="004D1BB2">
        <w:rPr>
          <w:rFonts w:ascii="Times New Roman" w:hAnsi="Times New Roman" w:cs="Times New Roman"/>
          <w:sz w:val="24"/>
          <w:szCs w:val="24"/>
        </w:rPr>
        <w:t xml:space="preserve"> acerca de la atención y el servicio brindado, por lo cual se llevó a cabo la realización de encuestas </w:t>
      </w:r>
      <w:r w:rsidR="00303BDD">
        <w:rPr>
          <w:rFonts w:ascii="Times New Roman" w:hAnsi="Times New Roman" w:cs="Times New Roman"/>
          <w:sz w:val="24"/>
          <w:szCs w:val="24"/>
        </w:rPr>
        <w:t>a los clientes externos</w:t>
      </w:r>
      <w:r w:rsidRPr="004D1BB2">
        <w:rPr>
          <w:rFonts w:ascii="Times New Roman" w:hAnsi="Times New Roman" w:cs="Times New Roman"/>
          <w:sz w:val="24"/>
          <w:szCs w:val="24"/>
        </w:rPr>
        <w:t xml:space="preserve"> y </w:t>
      </w:r>
      <w:r w:rsidR="00303BDD">
        <w:rPr>
          <w:rFonts w:ascii="Times New Roman" w:hAnsi="Times New Roman" w:cs="Times New Roman"/>
          <w:sz w:val="24"/>
          <w:szCs w:val="24"/>
        </w:rPr>
        <w:t xml:space="preserve">a los clientes internos. </w:t>
      </w:r>
    </w:p>
    <w:p w14:paraId="1709BD86" w14:textId="1E4E3C56" w:rsidR="00157094" w:rsidRPr="001F5E5A" w:rsidRDefault="0022357F" w:rsidP="001F5E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primer lugar, se presentarán los resultados del análisis de percepción de nuestros clientes externos a través de la recolección de datos mediante la encuesta recibida por los usuarios mediante el correo electrónico del cuestionario dispuesto en la página web </w:t>
      </w:r>
      <w:hyperlink r:id="rId7" w:history="1">
        <w:r w:rsidR="001F5E5A">
          <w:rPr>
            <w:rStyle w:val="Hipervnculo"/>
          </w:rPr>
          <w:t>https://forms.office.com/Pages/ResponsePage.aspx?id=DrPea0QGK0SmIp5xDDaB8UV0Hn5oTthEvcVG7sFyI2JUMTlMMjNEOTRISU9SNFFKNzBXRkwwQkRGOC4u</w:t>
        </w:r>
      </w:hyperlink>
    </w:p>
    <w:p w14:paraId="6BB87B91" w14:textId="5E6508C7" w:rsidR="002E3481" w:rsidRPr="004D1BB2" w:rsidRDefault="002E3481" w:rsidP="002E3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respecto a la encuesta de percepción realizada por la agencia en la página web, pudimos obtener </w:t>
      </w:r>
      <w:r w:rsidR="001F5E5A">
        <w:rPr>
          <w:rFonts w:ascii="Times New Roman" w:hAnsi="Times New Roman" w:cs="Times New Roman"/>
          <w:sz w:val="24"/>
          <w:szCs w:val="24"/>
        </w:rPr>
        <w:t>25</w:t>
      </w:r>
      <w:r w:rsidR="00FE0B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respuestas de personas que realizaron algún trámite durante el 201</w:t>
      </w:r>
      <w:r w:rsidR="001F5E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1F5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1BB2">
        <w:rPr>
          <w:rFonts w:ascii="Times New Roman" w:hAnsi="Times New Roman" w:cs="Times New Roman"/>
          <w:sz w:val="24"/>
          <w:szCs w:val="24"/>
        </w:rPr>
        <w:t xml:space="preserve">A continuación, se muestran los resultados de la encuesta de satisfacción al </w:t>
      </w:r>
      <w:r>
        <w:rPr>
          <w:rFonts w:ascii="Times New Roman" w:hAnsi="Times New Roman" w:cs="Times New Roman"/>
          <w:sz w:val="24"/>
          <w:szCs w:val="24"/>
        </w:rPr>
        <w:t>cliente externo por medio virtual</w:t>
      </w:r>
      <w:r w:rsidRPr="004D1BB2">
        <w:rPr>
          <w:rFonts w:ascii="Times New Roman" w:hAnsi="Times New Roman" w:cs="Times New Roman"/>
          <w:sz w:val="24"/>
          <w:szCs w:val="24"/>
        </w:rPr>
        <w:t xml:space="preserve"> realizada durante </w:t>
      </w:r>
      <w:r w:rsidR="001F5E5A">
        <w:rPr>
          <w:rFonts w:ascii="Times New Roman" w:hAnsi="Times New Roman" w:cs="Times New Roman"/>
          <w:sz w:val="24"/>
          <w:szCs w:val="24"/>
        </w:rPr>
        <w:t>el</w:t>
      </w:r>
      <w:r w:rsidR="005A2A0A">
        <w:rPr>
          <w:rFonts w:ascii="Times New Roman" w:hAnsi="Times New Roman" w:cs="Times New Roman"/>
          <w:sz w:val="24"/>
          <w:szCs w:val="24"/>
        </w:rPr>
        <w:t xml:space="preserve"> segundo </w:t>
      </w:r>
      <w:r w:rsidRPr="004D1BB2">
        <w:rPr>
          <w:rFonts w:ascii="Times New Roman" w:hAnsi="Times New Roman" w:cs="Times New Roman"/>
          <w:sz w:val="24"/>
          <w:szCs w:val="24"/>
        </w:rPr>
        <w:t>semestre del 2018</w:t>
      </w:r>
      <w:r w:rsidR="001F5E5A">
        <w:rPr>
          <w:rFonts w:ascii="Times New Roman" w:hAnsi="Times New Roman" w:cs="Times New Roman"/>
          <w:sz w:val="24"/>
          <w:szCs w:val="24"/>
        </w:rPr>
        <w:t xml:space="preserve"> y primer semestre de 2019</w:t>
      </w:r>
      <w:r w:rsidRPr="004D1BB2">
        <w:rPr>
          <w:rFonts w:ascii="Times New Roman" w:hAnsi="Times New Roman" w:cs="Times New Roman"/>
          <w:sz w:val="24"/>
          <w:szCs w:val="24"/>
        </w:rPr>
        <w:t xml:space="preserve">, la cual fue hecha por </w:t>
      </w:r>
      <w:r w:rsidR="001F5E5A">
        <w:rPr>
          <w:rFonts w:ascii="Times New Roman" w:hAnsi="Times New Roman" w:cs="Times New Roman"/>
          <w:sz w:val="24"/>
          <w:szCs w:val="24"/>
        </w:rPr>
        <w:t>2</w:t>
      </w:r>
      <w:r w:rsidR="00FE0B3B">
        <w:rPr>
          <w:rFonts w:ascii="Times New Roman" w:hAnsi="Times New Roman" w:cs="Times New Roman"/>
          <w:sz w:val="24"/>
          <w:szCs w:val="24"/>
        </w:rPr>
        <w:t>56</w:t>
      </w:r>
      <w:r w:rsidRPr="004D1BB2">
        <w:rPr>
          <w:rFonts w:ascii="Times New Roman" w:hAnsi="Times New Roman" w:cs="Times New Roman"/>
          <w:sz w:val="24"/>
          <w:szCs w:val="24"/>
        </w:rPr>
        <w:t xml:space="preserve"> ciudadanos con un total de </w:t>
      </w:r>
      <w:r w:rsidR="00A03D83">
        <w:rPr>
          <w:rFonts w:ascii="Times New Roman" w:hAnsi="Times New Roman" w:cs="Times New Roman"/>
          <w:sz w:val="24"/>
          <w:szCs w:val="24"/>
        </w:rPr>
        <w:t>6</w:t>
      </w:r>
      <w:r w:rsidRPr="004D1BB2">
        <w:rPr>
          <w:rFonts w:ascii="Times New Roman" w:hAnsi="Times New Roman" w:cs="Times New Roman"/>
          <w:sz w:val="24"/>
          <w:szCs w:val="24"/>
        </w:rPr>
        <w:t xml:space="preserve"> preguntas las cuales buscan calificar diferentes factores acerca del servicio ofrecido.</w:t>
      </w:r>
    </w:p>
    <w:p w14:paraId="1F696B3B" w14:textId="77777777" w:rsidR="002E3481" w:rsidRDefault="002E3481" w:rsidP="002E3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Acerca de la primera pregunta: </w:t>
      </w:r>
      <w:r w:rsidRPr="00261281">
        <w:rPr>
          <w:rFonts w:ascii="Times New Roman" w:hAnsi="Times New Roman" w:cs="Times New Roman"/>
          <w:sz w:val="24"/>
          <w:szCs w:val="24"/>
        </w:rPr>
        <w:t>¿Qué tipo de tramite realizaste ante la Agencia Nacional de Hidrocarburos -ANH-?</w:t>
      </w:r>
      <w:r>
        <w:rPr>
          <w:rFonts w:ascii="Times New Roman" w:hAnsi="Times New Roman" w:cs="Times New Roman"/>
          <w:sz w:val="24"/>
          <w:szCs w:val="24"/>
        </w:rPr>
        <w:t>, se identificó que el 73,1% de los usuarios requieren solicitudes de información, el 24% efectúan derechos de petición y el 2,7% realizan quejas.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2409"/>
        <w:gridCol w:w="1843"/>
        <w:gridCol w:w="2410"/>
      </w:tblGrid>
      <w:tr w:rsidR="00E252AE" w:rsidRPr="005A2A0A" w14:paraId="6E38BB4E" w14:textId="77777777" w:rsidTr="00E252AE">
        <w:trPr>
          <w:trHeight w:val="443"/>
        </w:trPr>
        <w:tc>
          <w:tcPr>
            <w:tcW w:w="2409" w:type="dxa"/>
            <w:shd w:val="clear" w:color="auto" w:fill="9CC2E5" w:themeFill="accent1" w:themeFillTint="99"/>
          </w:tcPr>
          <w:p w14:paraId="2A436C29" w14:textId="77777777" w:rsidR="002E3481" w:rsidRPr="005A2A0A" w:rsidRDefault="005A2A0A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TIPO DE TRÁ</w:t>
            </w:r>
            <w:r w:rsidR="002E3481"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MITE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77991D6F" w14:textId="77777777" w:rsidR="002E3481" w:rsidRPr="005A2A0A" w:rsidRDefault="002E3481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CANTIDAD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480B2289" w14:textId="77777777" w:rsidR="002E3481" w:rsidRPr="005A2A0A" w:rsidRDefault="002E3481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PORCENTAJE</w:t>
            </w:r>
          </w:p>
        </w:tc>
      </w:tr>
      <w:tr w:rsidR="00E252AE" w:rsidRPr="005A2A0A" w14:paraId="13AAB35E" w14:textId="77777777" w:rsidTr="00E252AE">
        <w:trPr>
          <w:trHeight w:val="524"/>
        </w:trPr>
        <w:tc>
          <w:tcPr>
            <w:tcW w:w="2409" w:type="dxa"/>
          </w:tcPr>
          <w:p w14:paraId="1176A1DD" w14:textId="77777777" w:rsidR="002E3481" w:rsidRPr="005A2A0A" w:rsidRDefault="002E348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Solicitud de información</w:t>
            </w:r>
          </w:p>
        </w:tc>
        <w:tc>
          <w:tcPr>
            <w:tcW w:w="1843" w:type="dxa"/>
          </w:tcPr>
          <w:p w14:paraId="0F2C5EF3" w14:textId="4C10B20B" w:rsidR="002E3481" w:rsidRPr="005A2A0A" w:rsidRDefault="00FE0B3B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229</w:t>
            </w:r>
          </w:p>
        </w:tc>
        <w:tc>
          <w:tcPr>
            <w:tcW w:w="2410" w:type="dxa"/>
          </w:tcPr>
          <w:p w14:paraId="34434494" w14:textId="16608ECE" w:rsidR="002E3481" w:rsidRPr="005A2A0A" w:rsidRDefault="00FE0B3B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89.4%</w:t>
            </w:r>
          </w:p>
        </w:tc>
      </w:tr>
      <w:tr w:rsidR="00E252AE" w:rsidRPr="005A2A0A" w14:paraId="4FF64ACD" w14:textId="77777777" w:rsidTr="00E252AE">
        <w:tc>
          <w:tcPr>
            <w:tcW w:w="2409" w:type="dxa"/>
          </w:tcPr>
          <w:p w14:paraId="16AFC936" w14:textId="77777777" w:rsidR="002E3481" w:rsidRPr="005A2A0A" w:rsidRDefault="002E348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Derecho de petición</w:t>
            </w:r>
          </w:p>
        </w:tc>
        <w:tc>
          <w:tcPr>
            <w:tcW w:w="1843" w:type="dxa"/>
          </w:tcPr>
          <w:p w14:paraId="70C6C899" w14:textId="54CA47DC" w:rsidR="002E3481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21</w:t>
            </w:r>
          </w:p>
        </w:tc>
        <w:tc>
          <w:tcPr>
            <w:tcW w:w="2410" w:type="dxa"/>
          </w:tcPr>
          <w:p w14:paraId="150A8753" w14:textId="4EFEDD37" w:rsidR="002E3481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8.2%</w:t>
            </w:r>
          </w:p>
        </w:tc>
      </w:tr>
      <w:tr w:rsidR="00E252AE" w:rsidRPr="005A2A0A" w14:paraId="6DEF79E1" w14:textId="77777777" w:rsidTr="00E252AE">
        <w:tc>
          <w:tcPr>
            <w:tcW w:w="2409" w:type="dxa"/>
          </w:tcPr>
          <w:p w14:paraId="36A07789" w14:textId="77777777" w:rsidR="002E3481" w:rsidRPr="005A2A0A" w:rsidRDefault="002E348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Queja</w:t>
            </w:r>
          </w:p>
        </w:tc>
        <w:tc>
          <w:tcPr>
            <w:tcW w:w="1843" w:type="dxa"/>
          </w:tcPr>
          <w:p w14:paraId="45168D2C" w14:textId="227961DF" w:rsidR="002E3481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5</w:t>
            </w:r>
          </w:p>
        </w:tc>
        <w:tc>
          <w:tcPr>
            <w:tcW w:w="2410" w:type="dxa"/>
          </w:tcPr>
          <w:p w14:paraId="0D32B8FD" w14:textId="2B6C9F50" w:rsidR="002E3481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1.9%</w:t>
            </w:r>
          </w:p>
        </w:tc>
      </w:tr>
      <w:tr w:rsidR="002E3481" w:rsidRPr="005A2A0A" w14:paraId="492D4771" w14:textId="77777777" w:rsidTr="00E252AE">
        <w:tc>
          <w:tcPr>
            <w:tcW w:w="2409" w:type="dxa"/>
          </w:tcPr>
          <w:p w14:paraId="1723A0E1" w14:textId="241287C7" w:rsidR="002E3481" w:rsidRPr="005B5B71" w:rsidRDefault="005B5B71" w:rsidP="005A2A0A">
            <w:pPr>
              <w:jc w:val="center"/>
              <w:rPr>
                <w:rFonts w:ascii="Tw Cen MT" w:eastAsia="Times New Roman" w:hAnsi="Tw Cen MT" w:cs="Calibri"/>
                <w:color w:val="000000"/>
                <w:lang w:eastAsia="es-CO"/>
              </w:rPr>
            </w:pPr>
            <w:r w:rsidRPr="005B5B71">
              <w:rPr>
                <w:rFonts w:ascii="Tw Cen MT" w:eastAsia="Times New Roman" w:hAnsi="Tw Cen MT" w:cs="Calibri"/>
                <w:color w:val="000000"/>
                <w:lang w:eastAsia="es-CO"/>
              </w:rPr>
              <w:t>Denuncia</w:t>
            </w:r>
          </w:p>
        </w:tc>
        <w:tc>
          <w:tcPr>
            <w:tcW w:w="1843" w:type="dxa"/>
          </w:tcPr>
          <w:p w14:paraId="4CDFA032" w14:textId="75EFA2E6" w:rsidR="002E3481" w:rsidRPr="005B5B71" w:rsidRDefault="005B5B71" w:rsidP="005B5B71">
            <w:pPr>
              <w:jc w:val="center"/>
              <w:rPr>
                <w:rFonts w:ascii="Tw Cen MT" w:eastAsia="Times New Roman" w:hAnsi="Tw Cen MT" w:cs="Calibri"/>
                <w:color w:val="000000"/>
                <w:lang w:eastAsia="es-CO"/>
              </w:rPr>
            </w:pPr>
            <w:r w:rsidRPr="005B5B71">
              <w:rPr>
                <w:rFonts w:ascii="Tw Cen MT" w:eastAsia="Times New Roman" w:hAnsi="Tw Cen MT" w:cs="Calibri"/>
                <w:color w:val="000000"/>
                <w:lang w:eastAsia="es-CO"/>
              </w:rPr>
              <w:t>1</w:t>
            </w:r>
          </w:p>
        </w:tc>
        <w:tc>
          <w:tcPr>
            <w:tcW w:w="2410" w:type="dxa"/>
          </w:tcPr>
          <w:p w14:paraId="3A116A71" w14:textId="6759C217" w:rsidR="002E3481" w:rsidRPr="005B5B71" w:rsidRDefault="005B5B71" w:rsidP="005B5B71">
            <w:pPr>
              <w:jc w:val="center"/>
              <w:rPr>
                <w:rFonts w:ascii="Tw Cen MT" w:eastAsia="Times New Roman" w:hAnsi="Tw Cen MT" w:cs="Calibri"/>
                <w:color w:val="000000"/>
                <w:lang w:eastAsia="es-CO"/>
              </w:rPr>
            </w:pPr>
            <w:r w:rsidRPr="005B5B71">
              <w:rPr>
                <w:rFonts w:ascii="Tw Cen MT" w:eastAsia="Times New Roman" w:hAnsi="Tw Cen MT" w:cs="Calibri"/>
                <w:color w:val="000000"/>
                <w:lang w:eastAsia="es-CO"/>
              </w:rPr>
              <w:t>1%</w:t>
            </w:r>
          </w:p>
        </w:tc>
      </w:tr>
      <w:tr w:rsidR="005B5B71" w:rsidRPr="005A2A0A" w14:paraId="6AAF8636" w14:textId="77777777" w:rsidTr="00E252AE">
        <w:tc>
          <w:tcPr>
            <w:tcW w:w="2409" w:type="dxa"/>
          </w:tcPr>
          <w:p w14:paraId="7228752A" w14:textId="186AC139" w:rsidR="005B5B71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TOTALES</w:t>
            </w:r>
          </w:p>
        </w:tc>
        <w:tc>
          <w:tcPr>
            <w:tcW w:w="1843" w:type="dxa"/>
          </w:tcPr>
          <w:p w14:paraId="1523B60F" w14:textId="5606E6D1" w:rsidR="005B5B71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256</w:t>
            </w:r>
          </w:p>
        </w:tc>
        <w:tc>
          <w:tcPr>
            <w:tcW w:w="2410" w:type="dxa"/>
          </w:tcPr>
          <w:p w14:paraId="160C2336" w14:textId="561D1BB8" w:rsidR="005B5B71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14:paraId="691AA472" w14:textId="3A6D6D22" w:rsidR="00E252AE" w:rsidRDefault="00E252AE" w:rsidP="005A2A0A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lang w:eastAsia="es-CO"/>
        </w:rPr>
      </w:pPr>
    </w:p>
    <w:p w14:paraId="13008C8B" w14:textId="37877561" w:rsidR="002E0744" w:rsidRDefault="002E0744" w:rsidP="005A2A0A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lang w:eastAsia="es-CO"/>
        </w:rPr>
      </w:pPr>
      <w:r>
        <w:rPr>
          <w:rFonts w:ascii="Tw Cen MT" w:eastAsia="Times New Roman" w:hAnsi="Tw Cen MT" w:cs="Calibri"/>
          <w:b/>
          <w:bCs/>
          <w:color w:val="000000"/>
          <w:lang w:eastAsia="es-CO"/>
        </w:rPr>
        <w:br/>
      </w:r>
    </w:p>
    <w:p w14:paraId="62AEDF35" w14:textId="69B5CD57" w:rsidR="002E0744" w:rsidRDefault="002E0744" w:rsidP="005A2A0A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lang w:eastAsia="es-CO"/>
        </w:rPr>
      </w:pPr>
    </w:p>
    <w:p w14:paraId="7E9381AE" w14:textId="7BE2F2CF" w:rsidR="002E0744" w:rsidRDefault="002E0744" w:rsidP="005A2A0A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lang w:eastAsia="es-CO"/>
        </w:rPr>
      </w:pPr>
    </w:p>
    <w:p w14:paraId="4C89E01E" w14:textId="6067AE8C" w:rsidR="002E0744" w:rsidRDefault="002E0744" w:rsidP="005A2A0A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lang w:eastAsia="es-CO"/>
        </w:rPr>
      </w:pPr>
    </w:p>
    <w:p w14:paraId="04A00DED" w14:textId="77777777" w:rsidR="002E0744" w:rsidRPr="005A2A0A" w:rsidRDefault="002E0744" w:rsidP="005A2A0A">
      <w:pPr>
        <w:spacing w:after="0" w:line="240" w:lineRule="auto"/>
        <w:jc w:val="center"/>
        <w:rPr>
          <w:rFonts w:ascii="Tw Cen MT" w:eastAsia="Times New Roman" w:hAnsi="Tw Cen MT" w:cs="Calibri"/>
          <w:b/>
          <w:bCs/>
          <w:color w:val="000000"/>
          <w:lang w:eastAsia="es-CO"/>
        </w:rPr>
      </w:pPr>
    </w:p>
    <w:p w14:paraId="3E23A6EB" w14:textId="77777777" w:rsidR="00E252AE" w:rsidRDefault="00E252AE" w:rsidP="005A2A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2AE">
        <w:rPr>
          <w:rFonts w:ascii="Times New Roman" w:hAnsi="Times New Roman" w:cs="Times New Roman"/>
          <w:noProof/>
          <w:sz w:val="24"/>
          <w:szCs w:val="24"/>
          <w:highlight w:val="red"/>
          <w:lang w:eastAsia="es-CO"/>
        </w:rPr>
        <w:lastRenderedPageBreak/>
        <w:drawing>
          <wp:inline distT="0" distB="0" distL="0" distR="0" wp14:anchorId="013FA5F0" wp14:editId="0262365F">
            <wp:extent cx="4962525" cy="2009775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8C768B9" w14:textId="77777777" w:rsidR="00E252AE" w:rsidRDefault="00E252AE" w:rsidP="00E25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acuerdo con la segunda pregunta: </w:t>
      </w:r>
      <w:r w:rsidR="005A2A0A">
        <w:rPr>
          <w:rFonts w:ascii="Times New Roman" w:hAnsi="Times New Roman" w:cs="Times New Roman"/>
          <w:sz w:val="24"/>
          <w:szCs w:val="24"/>
        </w:rPr>
        <w:t>¿Có</w:t>
      </w:r>
      <w:r>
        <w:rPr>
          <w:rFonts w:ascii="Times New Roman" w:hAnsi="Times New Roman" w:cs="Times New Roman"/>
          <w:sz w:val="24"/>
          <w:szCs w:val="24"/>
        </w:rPr>
        <w:t>mo calificarías el servicio recibido por la Agencia Nacional de Hidrocarburos, siendo 1 una calificación mala y 5 excelente</w:t>
      </w:r>
      <w:r w:rsidR="005A2A0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Se obtuvieron los siguientes resultados:</w:t>
      </w:r>
    </w:p>
    <w:p w14:paraId="15097BDE" w14:textId="77777777" w:rsidR="00E252AE" w:rsidRDefault="0068384D" w:rsidP="00E25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64384" behindDoc="1" locked="0" layoutInCell="1" allowOverlap="1" wp14:anchorId="468AB97F" wp14:editId="7944C82E">
            <wp:simplePos x="0" y="0"/>
            <wp:positionH relativeFrom="margin">
              <wp:align>right</wp:align>
            </wp:positionH>
            <wp:positionV relativeFrom="paragraph">
              <wp:posOffset>236855</wp:posOffset>
            </wp:positionV>
            <wp:extent cx="2724150" cy="1828800"/>
            <wp:effectExtent l="0" t="0" r="0" b="0"/>
            <wp:wrapNone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2AE">
        <w:rPr>
          <w:rFonts w:ascii="Times New Roman" w:hAnsi="Times New Roman" w:cs="Times New Roman"/>
          <w:sz w:val="24"/>
          <w:szCs w:val="24"/>
        </w:rPr>
        <w:t xml:space="preserve">Factor: </w:t>
      </w:r>
      <w:r w:rsidR="00A5730C" w:rsidRPr="008E6D6A">
        <w:rPr>
          <w:rFonts w:ascii="Times New Roman" w:hAnsi="Times New Roman" w:cs="Times New Roman"/>
          <w:b/>
          <w:sz w:val="24"/>
          <w:szCs w:val="24"/>
        </w:rPr>
        <w:t>AMABILIDAD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45"/>
        <w:gridCol w:w="1305"/>
        <w:gridCol w:w="1243"/>
      </w:tblGrid>
      <w:tr w:rsidR="00A5730C" w14:paraId="72964351" w14:textId="77777777" w:rsidTr="005A2A0A">
        <w:trPr>
          <w:trHeight w:val="347"/>
        </w:trPr>
        <w:tc>
          <w:tcPr>
            <w:tcW w:w="1445" w:type="dxa"/>
            <w:shd w:val="clear" w:color="auto" w:fill="9CC2E5" w:themeFill="accent1" w:themeFillTint="99"/>
          </w:tcPr>
          <w:p w14:paraId="27E1B477" w14:textId="77777777" w:rsidR="00A5730C" w:rsidRPr="005A2A0A" w:rsidRDefault="00A5730C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Calificación</w:t>
            </w:r>
          </w:p>
        </w:tc>
        <w:tc>
          <w:tcPr>
            <w:tcW w:w="1305" w:type="dxa"/>
            <w:shd w:val="clear" w:color="auto" w:fill="9CC2E5" w:themeFill="accent1" w:themeFillTint="99"/>
          </w:tcPr>
          <w:p w14:paraId="18D4F148" w14:textId="77777777" w:rsidR="00A5730C" w:rsidRPr="005A2A0A" w:rsidRDefault="00A5730C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Cantidad</w:t>
            </w:r>
          </w:p>
        </w:tc>
        <w:tc>
          <w:tcPr>
            <w:tcW w:w="1243" w:type="dxa"/>
            <w:shd w:val="clear" w:color="auto" w:fill="9CC2E5" w:themeFill="accent1" w:themeFillTint="99"/>
          </w:tcPr>
          <w:p w14:paraId="3C39058A" w14:textId="77777777" w:rsidR="00A5730C" w:rsidRPr="005A2A0A" w:rsidRDefault="00A5730C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Porcentaje</w:t>
            </w:r>
          </w:p>
        </w:tc>
      </w:tr>
      <w:tr w:rsidR="00A5730C" w14:paraId="1132693D" w14:textId="77777777" w:rsidTr="005A2A0A">
        <w:trPr>
          <w:trHeight w:val="325"/>
        </w:trPr>
        <w:tc>
          <w:tcPr>
            <w:tcW w:w="1445" w:type="dxa"/>
          </w:tcPr>
          <w:p w14:paraId="09A15F82" w14:textId="77777777" w:rsidR="00A5730C" w:rsidRPr="005A2A0A" w:rsidRDefault="00A5730C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Excelente</w:t>
            </w:r>
          </w:p>
        </w:tc>
        <w:tc>
          <w:tcPr>
            <w:tcW w:w="1305" w:type="dxa"/>
          </w:tcPr>
          <w:p w14:paraId="0ED9B30E" w14:textId="01EF1B4F" w:rsidR="00A5730C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138</w:t>
            </w:r>
          </w:p>
        </w:tc>
        <w:tc>
          <w:tcPr>
            <w:tcW w:w="1243" w:type="dxa"/>
          </w:tcPr>
          <w:p w14:paraId="50B6D5BC" w14:textId="4478C872" w:rsidR="00A5730C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53.9</w:t>
            </w:r>
            <w:r w:rsidR="00A5730C"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%</w:t>
            </w:r>
          </w:p>
        </w:tc>
      </w:tr>
      <w:tr w:rsidR="00A5730C" w14:paraId="6971259A" w14:textId="77777777" w:rsidTr="005A2A0A">
        <w:trPr>
          <w:trHeight w:val="347"/>
        </w:trPr>
        <w:tc>
          <w:tcPr>
            <w:tcW w:w="1445" w:type="dxa"/>
          </w:tcPr>
          <w:p w14:paraId="55FBF7C4" w14:textId="77777777" w:rsidR="00A5730C" w:rsidRPr="005A2A0A" w:rsidRDefault="00A5730C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 xml:space="preserve"> Buena</w:t>
            </w:r>
          </w:p>
        </w:tc>
        <w:tc>
          <w:tcPr>
            <w:tcW w:w="1305" w:type="dxa"/>
          </w:tcPr>
          <w:p w14:paraId="3E5CF34B" w14:textId="0F7D1D74" w:rsidR="00A5730C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70</w:t>
            </w:r>
          </w:p>
        </w:tc>
        <w:tc>
          <w:tcPr>
            <w:tcW w:w="1243" w:type="dxa"/>
          </w:tcPr>
          <w:p w14:paraId="0EEE5CF7" w14:textId="5C4F84D3" w:rsidR="00A5730C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27.3%</w:t>
            </w:r>
          </w:p>
        </w:tc>
      </w:tr>
      <w:tr w:rsidR="00A5730C" w14:paraId="08174BC7" w14:textId="77777777" w:rsidTr="005A2A0A">
        <w:trPr>
          <w:trHeight w:val="347"/>
        </w:trPr>
        <w:tc>
          <w:tcPr>
            <w:tcW w:w="1445" w:type="dxa"/>
          </w:tcPr>
          <w:p w14:paraId="34BC75CA" w14:textId="77777777" w:rsidR="00A5730C" w:rsidRPr="005A2A0A" w:rsidRDefault="00A5730C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Aceptable</w:t>
            </w:r>
          </w:p>
        </w:tc>
        <w:tc>
          <w:tcPr>
            <w:tcW w:w="1305" w:type="dxa"/>
          </w:tcPr>
          <w:p w14:paraId="3CFF8EFD" w14:textId="1B47E381" w:rsidR="00A5730C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27</w:t>
            </w:r>
          </w:p>
        </w:tc>
        <w:tc>
          <w:tcPr>
            <w:tcW w:w="1243" w:type="dxa"/>
          </w:tcPr>
          <w:p w14:paraId="331D5A20" w14:textId="56E7480E" w:rsidR="00A5730C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10.5%</w:t>
            </w:r>
          </w:p>
        </w:tc>
      </w:tr>
      <w:tr w:rsidR="00A5730C" w14:paraId="67F065C0" w14:textId="77777777" w:rsidTr="005A2A0A">
        <w:trPr>
          <w:trHeight w:val="325"/>
        </w:trPr>
        <w:tc>
          <w:tcPr>
            <w:tcW w:w="1445" w:type="dxa"/>
          </w:tcPr>
          <w:p w14:paraId="00C2D615" w14:textId="77777777" w:rsidR="00A5730C" w:rsidRPr="005A2A0A" w:rsidRDefault="00A5730C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Regular</w:t>
            </w:r>
          </w:p>
        </w:tc>
        <w:tc>
          <w:tcPr>
            <w:tcW w:w="1305" w:type="dxa"/>
          </w:tcPr>
          <w:p w14:paraId="4D9B8D5D" w14:textId="06C55871" w:rsidR="00A5730C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10</w:t>
            </w:r>
          </w:p>
        </w:tc>
        <w:tc>
          <w:tcPr>
            <w:tcW w:w="1243" w:type="dxa"/>
          </w:tcPr>
          <w:p w14:paraId="638B094B" w14:textId="40D35AF6" w:rsidR="00A5730C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3.9%</w:t>
            </w:r>
          </w:p>
        </w:tc>
      </w:tr>
      <w:tr w:rsidR="00A5730C" w14:paraId="2568DD43" w14:textId="77777777" w:rsidTr="005A2A0A">
        <w:trPr>
          <w:trHeight w:val="347"/>
        </w:trPr>
        <w:tc>
          <w:tcPr>
            <w:tcW w:w="1445" w:type="dxa"/>
          </w:tcPr>
          <w:p w14:paraId="0C7C58FC" w14:textId="77777777" w:rsidR="00A5730C" w:rsidRPr="005A2A0A" w:rsidRDefault="00A5730C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Mala</w:t>
            </w:r>
          </w:p>
        </w:tc>
        <w:tc>
          <w:tcPr>
            <w:tcW w:w="1305" w:type="dxa"/>
          </w:tcPr>
          <w:p w14:paraId="196E740C" w14:textId="7F4D8C17" w:rsidR="00A5730C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11</w:t>
            </w:r>
          </w:p>
        </w:tc>
        <w:tc>
          <w:tcPr>
            <w:tcW w:w="1243" w:type="dxa"/>
          </w:tcPr>
          <w:p w14:paraId="3D66A230" w14:textId="75361A48" w:rsidR="00A5730C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4.2%</w:t>
            </w:r>
          </w:p>
        </w:tc>
      </w:tr>
      <w:tr w:rsidR="00A5730C" w14:paraId="0E5D0A30" w14:textId="77777777" w:rsidTr="005A2A0A">
        <w:trPr>
          <w:trHeight w:val="325"/>
        </w:trPr>
        <w:tc>
          <w:tcPr>
            <w:tcW w:w="1445" w:type="dxa"/>
          </w:tcPr>
          <w:p w14:paraId="42FD144E" w14:textId="77777777" w:rsidR="00A5730C" w:rsidRPr="005A2A0A" w:rsidRDefault="00A5730C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305" w:type="dxa"/>
          </w:tcPr>
          <w:p w14:paraId="0200BA53" w14:textId="3CC08CBB" w:rsidR="00A5730C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256</w:t>
            </w:r>
          </w:p>
        </w:tc>
        <w:tc>
          <w:tcPr>
            <w:tcW w:w="1243" w:type="dxa"/>
          </w:tcPr>
          <w:p w14:paraId="70F8A84A" w14:textId="77777777" w:rsidR="00A5730C" w:rsidRPr="005A2A0A" w:rsidRDefault="00A5730C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14:paraId="19F604C9" w14:textId="72D97E02" w:rsidR="005A2A0A" w:rsidRDefault="00A5730C" w:rsidP="00E25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E22502A" w14:textId="260715B0" w:rsidR="00E252AE" w:rsidRPr="0068384D" w:rsidRDefault="005B5B71" w:rsidP="00E252AE">
      <w:pPr>
        <w:spacing w:line="360" w:lineRule="auto"/>
        <w:jc w:val="both"/>
        <w:rPr>
          <w:rFonts w:ascii="Times New Roman" w:hAnsi="Times New Roman" w:cs="Times New Roman"/>
          <w:b/>
          <w:sz w:val="10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66432" behindDoc="1" locked="0" layoutInCell="1" allowOverlap="1" wp14:anchorId="076ABB73" wp14:editId="5EC08F29">
            <wp:simplePos x="0" y="0"/>
            <wp:positionH relativeFrom="margin">
              <wp:posOffset>3030855</wp:posOffset>
            </wp:positionH>
            <wp:positionV relativeFrom="paragraph">
              <wp:posOffset>410845</wp:posOffset>
            </wp:positionV>
            <wp:extent cx="2771775" cy="1733550"/>
            <wp:effectExtent l="0" t="0" r="9525" b="0"/>
            <wp:wrapNone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30C">
        <w:rPr>
          <w:rFonts w:ascii="Times New Roman" w:hAnsi="Times New Roman" w:cs="Times New Roman"/>
          <w:sz w:val="24"/>
          <w:szCs w:val="24"/>
        </w:rPr>
        <w:t>Factor:</w:t>
      </w:r>
      <w:r w:rsidR="008E6D6A">
        <w:rPr>
          <w:rFonts w:ascii="Times New Roman" w:hAnsi="Times New Roman" w:cs="Times New Roman"/>
          <w:sz w:val="24"/>
          <w:szCs w:val="24"/>
        </w:rPr>
        <w:t xml:space="preserve"> </w:t>
      </w:r>
      <w:r w:rsidR="008E6D6A" w:rsidRPr="008E6D6A">
        <w:rPr>
          <w:rFonts w:ascii="Times New Roman" w:hAnsi="Times New Roman" w:cs="Times New Roman"/>
          <w:b/>
          <w:sz w:val="24"/>
          <w:szCs w:val="24"/>
        </w:rPr>
        <w:t>OPORTUNIDAD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49"/>
        <w:gridCol w:w="1309"/>
        <w:gridCol w:w="1308"/>
      </w:tblGrid>
      <w:tr w:rsidR="008E6D6A" w14:paraId="43197BFB" w14:textId="77777777" w:rsidTr="005A2A0A">
        <w:trPr>
          <w:trHeight w:val="389"/>
        </w:trPr>
        <w:tc>
          <w:tcPr>
            <w:tcW w:w="1449" w:type="dxa"/>
            <w:shd w:val="clear" w:color="auto" w:fill="9CC2E5" w:themeFill="accent1" w:themeFillTint="99"/>
          </w:tcPr>
          <w:p w14:paraId="556A1720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Calificación</w:t>
            </w:r>
          </w:p>
        </w:tc>
        <w:tc>
          <w:tcPr>
            <w:tcW w:w="1309" w:type="dxa"/>
            <w:shd w:val="clear" w:color="auto" w:fill="9CC2E5" w:themeFill="accent1" w:themeFillTint="99"/>
          </w:tcPr>
          <w:p w14:paraId="6206057C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Cantidad</w:t>
            </w:r>
          </w:p>
        </w:tc>
        <w:tc>
          <w:tcPr>
            <w:tcW w:w="1308" w:type="dxa"/>
            <w:shd w:val="clear" w:color="auto" w:fill="9CC2E5" w:themeFill="accent1" w:themeFillTint="99"/>
          </w:tcPr>
          <w:p w14:paraId="1C0D3E3D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Porcentaje</w:t>
            </w:r>
          </w:p>
        </w:tc>
      </w:tr>
      <w:tr w:rsidR="008E6D6A" w14:paraId="670B0E37" w14:textId="77777777" w:rsidTr="005A2A0A">
        <w:trPr>
          <w:trHeight w:val="365"/>
        </w:trPr>
        <w:tc>
          <w:tcPr>
            <w:tcW w:w="1449" w:type="dxa"/>
          </w:tcPr>
          <w:p w14:paraId="43B63383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Excelente</w:t>
            </w:r>
          </w:p>
        </w:tc>
        <w:tc>
          <w:tcPr>
            <w:tcW w:w="1309" w:type="dxa"/>
          </w:tcPr>
          <w:p w14:paraId="3FE2EE93" w14:textId="1AA16A0D" w:rsidR="008E6D6A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88</w:t>
            </w:r>
          </w:p>
        </w:tc>
        <w:tc>
          <w:tcPr>
            <w:tcW w:w="1308" w:type="dxa"/>
          </w:tcPr>
          <w:p w14:paraId="7FE749E7" w14:textId="714E7953" w:rsidR="008E6D6A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34.3%</w:t>
            </w:r>
          </w:p>
        </w:tc>
      </w:tr>
      <w:tr w:rsidR="008E6D6A" w14:paraId="5DA2BC0E" w14:textId="77777777" w:rsidTr="005A2A0A">
        <w:trPr>
          <w:trHeight w:val="389"/>
        </w:trPr>
        <w:tc>
          <w:tcPr>
            <w:tcW w:w="1449" w:type="dxa"/>
          </w:tcPr>
          <w:p w14:paraId="2E2D3204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Buena</w:t>
            </w:r>
          </w:p>
        </w:tc>
        <w:tc>
          <w:tcPr>
            <w:tcW w:w="1309" w:type="dxa"/>
          </w:tcPr>
          <w:p w14:paraId="16E49BB9" w14:textId="2238EA62" w:rsidR="008E6D6A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79</w:t>
            </w:r>
          </w:p>
        </w:tc>
        <w:tc>
          <w:tcPr>
            <w:tcW w:w="1308" w:type="dxa"/>
          </w:tcPr>
          <w:p w14:paraId="5B36BAA2" w14:textId="482A3FC5" w:rsidR="008E6D6A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30.8%</w:t>
            </w:r>
          </w:p>
        </w:tc>
      </w:tr>
      <w:tr w:rsidR="008E6D6A" w14:paraId="0B369154" w14:textId="77777777" w:rsidTr="005A2A0A">
        <w:trPr>
          <w:trHeight w:val="389"/>
        </w:trPr>
        <w:tc>
          <w:tcPr>
            <w:tcW w:w="1449" w:type="dxa"/>
          </w:tcPr>
          <w:p w14:paraId="471551CF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Aceptable</w:t>
            </w:r>
          </w:p>
        </w:tc>
        <w:tc>
          <w:tcPr>
            <w:tcW w:w="1309" w:type="dxa"/>
          </w:tcPr>
          <w:p w14:paraId="17F03B2F" w14:textId="22E7C362" w:rsidR="008E6D6A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53</w:t>
            </w:r>
          </w:p>
        </w:tc>
        <w:tc>
          <w:tcPr>
            <w:tcW w:w="1308" w:type="dxa"/>
          </w:tcPr>
          <w:p w14:paraId="761B2A66" w14:textId="5E14F4B2" w:rsidR="008E6D6A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20.7%</w:t>
            </w:r>
          </w:p>
        </w:tc>
      </w:tr>
      <w:tr w:rsidR="008E6D6A" w14:paraId="0C07B28C" w14:textId="77777777" w:rsidTr="005A2A0A">
        <w:trPr>
          <w:trHeight w:val="365"/>
        </w:trPr>
        <w:tc>
          <w:tcPr>
            <w:tcW w:w="1449" w:type="dxa"/>
          </w:tcPr>
          <w:p w14:paraId="47720A2C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Regular</w:t>
            </w:r>
          </w:p>
        </w:tc>
        <w:tc>
          <w:tcPr>
            <w:tcW w:w="1309" w:type="dxa"/>
          </w:tcPr>
          <w:p w14:paraId="7CFD1ED6" w14:textId="27C0371A" w:rsidR="008E6D6A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18</w:t>
            </w:r>
          </w:p>
        </w:tc>
        <w:tc>
          <w:tcPr>
            <w:tcW w:w="1308" w:type="dxa"/>
          </w:tcPr>
          <w:p w14:paraId="1594E451" w14:textId="337415D3" w:rsidR="008E6D6A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7%</w:t>
            </w:r>
          </w:p>
        </w:tc>
      </w:tr>
      <w:tr w:rsidR="008E6D6A" w14:paraId="24CF95ED" w14:textId="77777777" w:rsidTr="005A2A0A">
        <w:trPr>
          <w:trHeight w:val="389"/>
        </w:trPr>
        <w:tc>
          <w:tcPr>
            <w:tcW w:w="1449" w:type="dxa"/>
          </w:tcPr>
          <w:p w14:paraId="1E596467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Mala</w:t>
            </w:r>
          </w:p>
        </w:tc>
        <w:tc>
          <w:tcPr>
            <w:tcW w:w="1309" w:type="dxa"/>
          </w:tcPr>
          <w:p w14:paraId="666D7817" w14:textId="5BB9ECF4" w:rsidR="008E6D6A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18</w:t>
            </w:r>
          </w:p>
        </w:tc>
        <w:tc>
          <w:tcPr>
            <w:tcW w:w="1308" w:type="dxa"/>
          </w:tcPr>
          <w:p w14:paraId="10A4FECC" w14:textId="5FBEB42F" w:rsidR="008E6D6A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7%</w:t>
            </w:r>
          </w:p>
        </w:tc>
      </w:tr>
      <w:tr w:rsidR="008E6D6A" w14:paraId="0F62B73C" w14:textId="77777777" w:rsidTr="005A2A0A">
        <w:trPr>
          <w:trHeight w:val="365"/>
        </w:trPr>
        <w:tc>
          <w:tcPr>
            <w:tcW w:w="1449" w:type="dxa"/>
          </w:tcPr>
          <w:p w14:paraId="4AB77951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309" w:type="dxa"/>
          </w:tcPr>
          <w:p w14:paraId="7BB5F88E" w14:textId="2BC8C1F9" w:rsidR="008E6D6A" w:rsidRPr="005A2A0A" w:rsidRDefault="005B5B71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256</w:t>
            </w:r>
          </w:p>
        </w:tc>
        <w:tc>
          <w:tcPr>
            <w:tcW w:w="1308" w:type="dxa"/>
          </w:tcPr>
          <w:p w14:paraId="0F0D6184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14:paraId="591C27B3" w14:textId="152E2326" w:rsidR="008E6D6A" w:rsidRDefault="003C0F19" w:rsidP="003C0F19">
      <w:pPr>
        <w:tabs>
          <w:tab w:val="center" w:pos="2310"/>
          <w:tab w:val="right" w:pos="46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384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DFF4322" w14:textId="77777777" w:rsidR="00E9430A" w:rsidRDefault="00E9430A" w:rsidP="00E25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9D023" w14:textId="77777777" w:rsidR="00F577AB" w:rsidRDefault="00F577AB" w:rsidP="00E25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BF2FE" w14:textId="46A8D96C" w:rsidR="008E6D6A" w:rsidRDefault="009312C1" w:rsidP="00E25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68480" behindDoc="1" locked="0" layoutInCell="1" allowOverlap="1" wp14:anchorId="07D9917B" wp14:editId="43701A67">
            <wp:simplePos x="0" y="0"/>
            <wp:positionH relativeFrom="margin">
              <wp:posOffset>2891790</wp:posOffset>
            </wp:positionH>
            <wp:positionV relativeFrom="paragraph">
              <wp:posOffset>271780</wp:posOffset>
            </wp:positionV>
            <wp:extent cx="2771775" cy="1733550"/>
            <wp:effectExtent l="0" t="0" r="9525" b="0"/>
            <wp:wrapNone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D6A">
        <w:rPr>
          <w:rFonts w:ascii="Times New Roman" w:hAnsi="Times New Roman" w:cs="Times New Roman"/>
          <w:sz w:val="24"/>
          <w:szCs w:val="24"/>
        </w:rPr>
        <w:t xml:space="preserve">Factor: </w:t>
      </w:r>
      <w:r w:rsidR="008E6D6A" w:rsidRPr="008E6D6A">
        <w:rPr>
          <w:rFonts w:ascii="Times New Roman" w:hAnsi="Times New Roman" w:cs="Times New Roman"/>
          <w:b/>
          <w:sz w:val="24"/>
          <w:szCs w:val="24"/>
        </w:rPr>
        <w:t>ACCESIBILIDAD</w:t>
      </w:r>
      <w:r w:rsidR="008E6D6A" w:rsidRPr="008E6D6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92"/>
        <w:gridCol w:w="1348"/>
        <w:gridCol w:w="1347"/>
      </w:tblGrid>
      <w:tr w:rsidR="008E6D6A" w14:paraId="2A2A6885" w14:textId="77777777" w:rsidTr="005A2A0A">
        <w:trPr>
          <w:trHeight w:val="364"/>
        </w:trPr>
        <w:tc>
          <w:tcPr>
            <w:tcW w:w="1492" w:type="dxa"/>
            <w:shd w:val="clear" w:color="auto" w:fill="9CC2E5" w:themeFill="accent1" w:themeFillTint="99"/>
          </w:tcPr>
          <w:p w14:paraId="3915C281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Calificación</w:t>
            </w:r>
          </w:p>
        </w:tc>
        <w:tc>
          <w:tcPr>
            <w:tcW w:w="1348" w:type="dxa"/>
            <w:shd w:val="clear" w:color="auto" w:fill="9CC2E5" w:themeFill="accent1" w:themeFillTint="99"/>
          </w:tcPr>
          <w:p w14:paraId="12D3AC9A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 xml:space="preserve">Cantidad </w:t>
            </w:r>
          </w:p>
        </w:tc>
        <w:tc>
          <w:tcPr>
            <w:tcW w:w="1347" w:type="dxa"/>
            <w:shd w:val="clear" w:color="auto" w:fill="9CC2E5" w:themeFill="accent1" w:themeFillTint="99"/>
          </w:tcPr>
          <w:p w14:paraId="5D914C56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Porcentaje</w:t>
            </w:r>
          </w:p>
        </w:tc>
      </w:tr>
      <w:tr w:rsidR="008E6D6A" w14:paraId="114BC9DC" w14:textId="77777777" w:rsidTr="005A2A0A">
        <w:trPr>
          <w:trHeight w:val="341"/>
        </w:trPr>
        <w:tc>
          <w:tcPr>
            <w:tcW w:w="1492" w:type="dxa"/>
          </w:tcPr>
          <w:p w14:paraId="37F871A9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Excelente</w:t>
            </w:r>
          </w:p>
        </w:tc>
        <w:tc>
          <w:tcPr>
            <w:tcW w:w="1348" w:type="dxa"/>
          </w:tcPr>
          <w:p w14:paraId="512D34D7" w14:textId="05BD97A6" w:rsidR="008E6D6A" w:rsidRPr="005A2A0A" w:rsidRDefault="00E9430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99</w:t>
            </w:r>
          </w:p>
        </w:tc>
        <w:tc>
          <w:tcPr>
            <w:tcW w:w="1347" w:type="dxa"/>
          </w:tcPr>
          <w:p w14:paraId="4E50EAC8" w14:textId="413B8158" w:rsidR="008E6D6A" w:rsidRPr="005A2A0A" w:rsidRDefault="00E9430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38.6%</w:t>
            </w:r>
          </w:p>
        </w:tc>
      </w:tr>
      <w:tr w:rsidR="008E6D6A" w14:paraId="4BE46CFC" w14:textId="77777777" w:rsidTr="005A2A0A">
        <w:trPr>
          <w:trHeight w:val="364"/>
        </w:trPr>
        <w:tc>
          <w:tcPr>
            <w:tcW w:w="1492" w:type="dxa"/>
          </w:tcPr>
          <w:p w14:paraId="238BB02D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Buena</w:t>
            </w:r>
          </w:p>
        </w:tc>
        <w:tc>
          <w:tcPr>
            <w:tcW w:w="1348" w:type="dxa"/>
          </w:tcPr>
          <w:p w14:paraId="40F26B1D" w14:textId="369EF4CB" w:rsidR="008E6D6A" w:rsidRPr="005A2A0A" w:rsidRDefault="00E9430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69</w:t>
            </w:r>
          </w:p>
        </w:tc>
        <w:tc>
          <w:tcPr>
            <w:tcW w:w="1347" w:type="dxa"/>
          </w:tcPr>
          <w:p w14:paraId="2F041D4A" w14:textId="1F5D2BFD" w:rsidR="008E6D6A" w:rsidRPr="005A2A0A" w:rsidRDefault="00E9430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26.9%</w:t>
            </w:r>
          </w:p>
        </w:tc>
      </w:tr>
      <w:tr w:rsidR="008E6D6A" w14:paraId="07A61902" w14:textId="77777777" w:rsidTr="005A2A0A">
        <w:trPr>
          <w:trHeight w:val="364"/>
        </w:trPr>
        <w:tc>
          <w:tcPr>
            <w:tcW w:w="1492" w:type="dxa"/>
          </w:tcPr>
          <w:p w14:paraId="1535D5DE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Aceptable</w:t>
            </w:r>
          </w:p>
        </w:tc>
        <w:tc>
          <w:tcPr>
            <w:tcW w:w="1348" w:type="dxa"/>
          </w:tcPr>
          <w:p w14:paraId="4D5A62B7" w14:textId="74963D39" w:rsidR="008E6D6A" w:rsidRPr="005A2A0A" w:rsidRDefault="00E9430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44</w:t>
            </w:r>
          </w:p>
        </w:tc>
        <w:tc>
          <w:tcPr>
            <w:tcW w:w="1347" w:type="dxa"/>
          </w:tcPr>
          <w:p w14:paraId="1F89E1BF" w14:textId="17DDC012" w:rsidR="008E6D6A" w:rsidRPr="005A2A0A" w:rsidRDefault="00E9430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17.1%</w:t>
            </w:r>
          </w:p>
        </w:tc>
      </w:tr>
      <w:tr w:rsidR="008E6D6A" w14:paraId="7A0FD023" w14:textId="77777777" w:rsidTr="005A2A0A">
        <w:trPr>
          <w:trHeight w:val="341"/>
        </w:trPr>
        <w:tc>
          <w:tcPr>
            <w:tcW w:w="1492" w:type="dxa"/>
          </w:tcPr>
          <w:p w14:paraId="0A1A132F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Regular</w:t>
            </w:r>
          </w:p>
        </w:tc>
        <w:tc>
          <w:tcPr>
            <w:tcW w:w="1348" w:type="dxa"/>
          </w:tcPr>
          <w:p w14:paraId="255EA10E" w14:textId="24F6B266" w:rsidR="008E6D6A" w:rsidRPr="005A2A0A" w:rsidRDefault="00E9430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23</w:t>
            </w:r>
          </w:p>
        </w:tc>
        <w:tc>
          <w:tcPr>
            <w:tcW w:w="1347" w:type="dxa"/>
          </w:tcPr>
          <w:p w14:paraId="3A556BA8" w14:textId="30FF467F" w:rsidR="008E6D6A" w:rsidRPr="005A2A0A" w:rsidRDefault="00E9430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8.9%</w:t>
            </w:r>
          </w:p>
        </w:tc>
      </w:tr>
      <w:tr w:rsidR="008E6D6A" w14:paraId="3DF7B9C0" w14:textId="77777777" w:rsidTr="005A2A0A">
        <w:trPr>
          <w:trHeight w:val="364"/>
        </w:trPr>
        <w:tc>
          <w:tcPr>
            <w:tcW w:w="1492" w:type="dxa"/>
          </w:tcPr>
          <w:p w14:paraId="4BB0D330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Mala</w:t>
            </w:r>
          </w:p>
        </w:tc>
        <w:tc>
          <w:tcPr>
            <w:tcW w:w="1348" w:type="dxa"/>
          </w:tcPr>
          <w:p w14:paraId="59A2B7AC" w14:textId="6CD974B9" w:rsidR="008E6D6A" w:rsidRPr="005A2A0A" w:rsidRDefault="00E9430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21</w:t>
            </w:r>
          </w:p>
        </w:tc>
        <w:tc>
          <w:tcPr>
            <w:tcW w:w="1347" w:type="dxa"/>
          </w:tcPr>
          <w:p w14:paraId="526D1627" w14:textId="24C0028A" w:rsidR="008E6D6A" w:rsidRPr="005A2A0A" w:rsidRDefault="00E9430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8.2%</w:t>
            </w:r>
          </w:p>
        </w:tc>
      </w:tr>
      <w:tr w:rsidR="008E6D6A" w14:paraId="6E492C4C" w14:textId="77777777" w:rsidTr="005A2A0A">
        <w:trPr>
          <w:trHeight w:val="341"/>
        </w:trPr>
        <w:tc>
          <w:tcPr>
            <w:tcW w:w="1492" w:type="dxa"/>
          </w:tcPr>
          <w:p w14:paraId="639DBD96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348" w:type="dxa"/>
          </w:tcPr>
          <w:p w14:paraId="357EFE3B" w14:textId="2C68C108" w:rsidR="008E6D6A" w:rsidRPr="005A2A0A" w:rsidRDefault="00E9430A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256</w:t>
            </w:r>
          </w:p>
        </w:tc>
        <w:tc>
          <w:tcPr>
            <w:tcW w:w="1347" w:type="dxa"/>
          </w:tcPr>
          <w:p w14:paraId="63EBF5FF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14:paraId="01986C86" w14:textId="6176BB12" w:rsidR="006E08A4" w:rsidRDefault="009312C1" w:rsidP="00E25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F880B93" w14:textId="77777777" w:rsidR="008E6D6A" w:rsidRPr="006E08A4" w:rsidRDefault="009312C1" w:rsidP="00E252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70528" behindDoc="1" locked="0" layoutInCell="1" allowOverlap="1" wp14:anchorId="0FA40EAB" wp14:editId="4289F104">
            <wp:simplePos x="0" y="0"/>
            <wp:positionH relativeFrom="margin">
              <wp:align>right</wp:align>
            </wp:positionH>
            <wp:positionV relativeFrom="paragraph">
              <wp:posOffset>318135</wp:posOffset>
            </wp:positionV>
            <wp:extent cx="2771775" cy="1733550"/>
            <wp:effectExtent l="0" t="0" r="9525" b="0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D6A">
        <w:rPr>
          <w:rFonts w:ascii="Times New Roman" w:hAnsi="Times New Roman" w:cs="Times New Roman"/>
          <w:sz w:val="24"/>
          <w:szCs w:val="24"/>
        </w:rPr>
        <w:t>Factor:</w:t>
      </w:r>
      <w:r w:rsidR="008E6D6A">
        <w:rPr>
          <w:rFonts w:ascii="Times New Roman" w:hAnsi="Times New Roman" w:cs="Times New Roman"/>
          <w:sz w:val="24"/>
          <w:szCs w:val="24"/>
        </w:rPr>
        <w:tab/>
      </w:r>
      <w:r w:rsidR="008E6D6A" w:rsidRPr="006E08A4">
        <w:rPr>
          <w:rFonts w:ascii="Times New Roman" w:hAnsi="Times New Roman" w:cs="Times New Roman"/>
          <w:b/>
          <w:sz w:val="24"/>
          <w:szCs w:val="24"/>
        </w:rPr>
        <w:t>CONFIABILIDAD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92"/>
        <w:gridCol w:w="1347"/>
        <w:gridCol w:w="1346"/>
      </w:tblGrid>
      <w:tr w:rsidR="008E6D6A" w14:paraId="19545E29" w14:textId="77777777" w:rsidTr="005A2A0A">
        <w:trPr>
          <w:trHeight w:val="372"/>
        </w:trPr>
        <w:tc>
          <w:tcPr>
            <w:tcW w:w="1492" w:type="dxa"/>
            <w:shd w:val="clear" w:color="auto" w:fill="9CC2E5" w:themeFill="accent1" w:themeFillTint="99"/>
          </w:tcPr>
          <w:p w14:paraId="3130D767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Calificación</w:t>
            </w:r>
          </w:p>
        </w:tc>
        <w:tc>
          <w:tcPr>
            <w:tcW w:w="1347" w:type="dxa"/>
            <w:shd w:val="clear" w:color="auto" w:fill="9CC2E5" w:themeFill="accent1" w:themeFillTint="99"/>
          </w:tcPr>
          <w:p w14:paraId="39C456EC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Cantidad</w:t>
            </w:r>
          </w:p>
        </w:tc>
        <w:tc>
          <w:tcPr>
            <w:tcW w:w="1346" w:type="dxa"/>
            <w:shd w:val="clear" w:color="auto" w:fill="9CC2E5" w:themeFill="accent1" w:themeFillTint="99"/>
          </w:tcPr>
          <w:p w14:paraId="3C4760AB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Porcentaje</w:t>
            </w:r>
          </w:p>
        </w:tc>
      </w:tr>
      <w:tr w:rsidR="008E6D6A" w14:paraId="7B52D732" w14:textId="77777777" w:rsidTr="005A2A0A">
        <w:trPr>
          <w:trHeight w:val="349"/>
        </w:trPr>
        <w:tc>
          <w:tcPr>
            <w:tcW w:w="1492" w:type="dxa"/>
          </w:tcPr>
          <w:p w14:paraId="54ACFCCC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Excelente</w:t>
            </w:r>
          </w:p>
        </w:tc>
        <w:tc>
          <w:tcPr>
            <w:tcW w:w="1347" w:type="dxa"/>
          </w:tcPr>
          <w:p w14:paraId="0B6AF6E7" w14:textId="52809B5E" w:rsidR="008E6D6A" w:rsidRPr="005A2A0A" w:rsidRDefault="00E9430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126</w:t>
            </w:r>
          </w:p>
        </w:tc>
        <w:tc>
          <w:tcPr>
            <w:tcW w:w="1346" w:type="dxa"/>
          </w:tcPr>
          <w:p w14:paraId="218EB8C3" w14:textId="1946A5FC" w:rsidR="008E6D6A" w:rsidRPr="005A2A0A" w:rsidRDefault="00E9430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49.2%</w:t>
            </w:r>
          </w:p>
        </w:tc>
      </w:tr>
      <w:tr w:rsidR="008E6D6A" w14:paraId="49640098" w14:textId="77777777" w:rsidTr="005A2A0A">
        <w:trPr>
          <w:trHeight w:val="372"/>
        </w:trPr>
        <w:tc>
          <w:tcPr>
            <w:tcW w:w="1492" w:type="dxa"/>
          </w:tcPr>
          <w:p w14:paraId="34168882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Buena</w:t>
            </w:r>
          </w:p>
        </w:tc>
        <w:tc>
          <w:tcPr>
            <w:tcW w:w="1347" w:type="dxa"/>
          </w:tcPr>
          <w:p w14:paraId="5F7FBA11" w14:textId="56E9E541" w:rsidR="008E6D6A" w:rsidRPr="005A2A0A" w:rsidRDefault="00E9430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69</w:t>
            </w:r>
          </w:p>
        </w:tc>
        <w:tc>
          <w:tcPr>
            <w:tcW w:w="1346" w:type="dxa"/>
          </w:tcPr>
          <w:p w14:paraId="42120C05" w14:textId="21D7F198" w:rsidR="008E6D6A" w:rsidRPr="005A2A0A" w:rsidRDefault="00E9430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26.9%</w:t>
            </w:r>
          </w:p>
        </w:tc>
      </w:tr>
      <w:tr w:rsidR="008E6D6A" w14:paraId="538148BA" w14:textId="77777777" w:rsidTr="005A2A0A">
        <w:trPr>
          <w:trHeight w:val="372"/>
        </w:trPr>
        <w:tc>
          <w:tcPr>
            <w:tcW w:w="1492" w:type="dxa"/>
          </w:tcPr>
          <w:p w14:paraId="1C77ACD3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Aceptable</w:t>
            </w:r>
          </w:p>
        </w:tc>
        <w:tc>
          <w:tcPr>
            <w:tcW w:w="1347" w:type="dxa"/>
          </w:tcPr>
          <w:p w14:paraId="362DD9D1" w14:textId="7CC2362A" w:rsidR="008E6D6A" w:rsidRPr="005A2A0A" w:rsidRDefault="00E9430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31</w:t>
            </w:r>
          </w:p>
        </w:tc>
        <w:tc>
          <w:tcPr>
            <w:tcW w:w="1346" w:type="dxa"/>
          </w:tcPr>
          <w:p w14:paraId="180A057D" w14:textId="37C9B094" w:rsidR="008E6D6A" w:rsidRPr="005A2A0A" w:rsidRDefault="00E9430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12.1%</w:t>
            </w:r>
          </w:p>
        </w:tc>
      </w:tr>
      <w:tr w:rsidR="008E6D6A" w14:paraId="11911191" w14:textId="77777777" w:rsidTr="005A2A0A">
        <w:trPr>
          <w:trHeight w:val="349"/>
        </w:trPr>
        <w:tc>
          <w:tcPr>
            <w:tcW w:w="1492" w:type="dxa"/>
          </w:tcPr>
          <w:p w14:paraId="21CFE9E1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Regular</w:t>
            </w:r>
          </w:p>
        </w:tc>
        <w:tc>
          <w:tcPr>
            <w:tcW w:w="1347" w:type="dxa"/>
          </w:tcPr>
          <w:p w14:paraId="404C1C34" w14:textId="6D84D900" w:rsidR="008E6D6A" w:rsidRPr="005A2A0A" w:rsidRDefault="00E9430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11</w:t>
            </w:r>
          </w:p>
        </w:tc>
        <w:tc>
          <w:tcPr>
            <w:tcW w:w="1346" w:type="dxa"/>
          </w:tcPr>
          <w:p w14:paraId="42E2CAF6" w14:textId="3A14B230" w:rsidR="008E6D6A" w:rsidRPr="005A2A0A" w:rsidRDefault="00E9430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4.2%</w:t>
            </w:r>
          </w:p>
        </w:tc>
      </w:tr>
      <w:tr w:rsidR="008E6D6A" w14:paraId="6DF86654" w14:textId="77777777" w:rsidTr="005A2A0A">
        <w:trPr>
          <w:trHeight w:val="372"/>
        </w:trPr>
        <w:tc>
          <w:tcPr>
            <w:tcW w:w="1492" w:type="dxa"/>
          </w:tcPr>
          <w:p w14:paraId="055BA51F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Mala</w:t>
            </w:r>
          </w:p>
        </w:tc>
        <w:tc>
          <w:tcPr>
            <w:tcW w:w="1347" w:type="dxa"/>
          </w:tcPr>
          <w:p w14:paraId="27DA47A4" w14:textId="0F9DE505" w:rsidR="008E6D6A" w:rsidRPr="005A2A0A" w:rsidRDefault="00E9430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19</w:t>
            </w:r>
          </w:p>
        </w:tc>
        <w:tc>
          <w:tcPr>
            <w:tcW w:w="1346" w:type="dxa"/>
          </w:tcPr>
          <w:p w14:paraId="7BFB2CF3" w14:textId="589FB5D9" w:rsidR="008E6D6A" w:rsidRPr="005A2A0A" w:rsidRDefault="00E9430A" w:rsidP="005A2A0A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7.4%</w:t>
            </w:r>
          </w:p>
        </w:tc>
      </w:tr>
      <w:tr w:rsidR="008E6D6A" w14:paraId="528F6157" w14:textId="77777777" w:rsidTr="005A2A0A">
        <w:trPr>
          <w:trHeight w:val="349"/>
        </w:trPr>
        <w:tc>
          <w:tcPr>
            <w:tcW w:w="1492" w:type="dxa"/>
          </w:tcPr>
          <w:p w14:paraId="6D7A8EB0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347" w:type="dxa"/>
          </w:tcPr>
          <w:p w14:paraId="11C0DE9E" w14:textId="00BFE38A" w:rsidR="008E6D6A" w:rsidRPr="005A2A0A" w:rsidRDefault="00E9430A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256</w:t>
            </w:r>
          </w:p>
        </w:tc>
        <w:tc>
          <w:tcPr>
            <w:tcW w:w="1346" w:type="dxa"/>
          </w:tcPr>
          <w:p w14:paraId="2F28FD6F" w14:textId="77777777" w:rsidR="008E6D6A" w:rsidRPr="005A2A0A" w:rsidRDefault="008E6D6A" w:rsidP="005A2A0A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14:paraId="114EE42C" w14:textId="6F59E744" w:rsidR="006E08A4" w:rsidRDefault="009312C1" w:rsidP="00E25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A9420A9" w14:textId="77777777" w:rsidR="008E6D6A" w:rsidRDefault="009312C1" w:rsidP="00E25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72576" behindDoc="1" locked="0" layoutInCell="1" allowOverlap="1" wp14:anchorId="043B7995" wp14:editId="51C18293">
            <wp:simplePos x="0" y="0"/>
            <wp:positionH relativeFrom="margin">
              <wp:posOffset>2901315</wp:posOffset>
            </wp:positionH>
            <wp:positionV relativeFrom="paragraph">
              <wp:posOffset>288290</wp:posOffset>
            </wp:positionV>
            <wp:extent cx="2771775" cy="1733550"/>
            <wp:effectExtent l="0" t="0" r="9525" b="0"/>
            <wp:wrapNone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D6A">
        <w:rPr>
          <w:rFonts w:ascii="Times New Roman" w:hAnsi="Times New Roman" w:cs="Times New Roman"/>
          <w:sz w:val="24"/>
          <w:szCs w:val="24"/>
        </w:rPr>
        <w:t>Factor:</w:t>
      </w:r>
      <w:r w:rsidR="008E6D6A">
        <w:rPr>
          <w:rFonts w:ascii="Times New Roman" w:hAnsi="Times New Roman" w:cs="Times New Roman"/>
          <w:sz w:val="24"/>
          <w:szCs w:val="24"/>
        </w:rPr>
        <w:tab/>
      </w:r>
      <w:r w:rsidR="006E08A4" w:rsidRPr="006E08A4">
        <w:rPr>
          <w:rFonts w:ascii="Times New Roman" w:hAnsi="Times New Roman" w:cs="Times New Roman"/>
          <w:b/>
          <w:sz w:val="24"/>
          <w:szCs w:val="24"/>
        </w:rPr>
        <w:t>TIEMPO DE RESPUESTA</w:t>
      </w:r>
    </w:p>
    <w:tbl>
      <w:tblPr>
        <w:tblStyle w:val="Tablaconcuadrc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60"/>
        <w:gridCol w:w="1319"/>
        <w:gridCol w:w="1318"/>
      </w:tblGrid>
      <w:tr w:rsidR="006E08A4" w:rsidRPr="005A2A0A" w14:paraId="0FB7EDF1" w14:textId="77777777" w:rsidTr="00F577AB">
        <w:trPr>
          <w:trHeight w:val="366"/>
        </w:trPr>
        <w:tc>
          <w:tcPr>
            <w:tcW w:w="1460" w:type="dxa"/>
            <w:shd w:val="clear" w:color="auto" w:fill="9CC2E5" w:themeFill="accent1" w:themeFillTint="99"/>
          </w:tcPr>
          <w:p w14:paraId="3FB5C178" w14:textId="77777777" w:rsidR="006E08A4" w:rsidRPr="005A2A0A" w:rsidRDefault="006E08A4" w:rsidP="00F577AB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Calificación</w:t>
            </w:r>
          </w:p>
        </w:tc>
        <w:tc>
          <w:tcPr>
            <w:tcW w:w="1319" w:type="dxa"/>
            <w:shd w:val="clear" w:color="auto" w:fill="9CC2E5" w:themeFill="accent1" w:themeFillTint="99"/>
          </w:tcPr>
          <w:p w14:paraId="3ACBFCC6" w14:textId="77777777" w:rsidR="006E08A4" w:rsidRPr="005A2A0A" w:rsidRDefault="006E08A4" w:rsidP="00F577AB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Cantidad</w:t>
            </w:r>
          </w:p>
        </w:tc>
        <w:tc>
          <w:tcPr>
            <w:tcW w:w="1318" w:type="dxa"/>
            <w:shd w:val="clear" w:color="auto" w:fill="9CC2E5" w:themeFill="accent1" w:themeFillTint="99"/>
          </w:tcPr>
          <w:p w14:paraId="3EAD0C26" w14:textId="77777777" w:rsidR="006E08A4" w:rsidRPr="005A2A0A" w:rsidRDefault="006E08A4" w:rsidP="00F577AB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Porcentaje</w:t>
            </w:r>
          </w:p>
        </w:tc>
      </w:tr>
      <w:tr w:rsidR="006E08A4" w:rsidRPr="005A2A0A" w14:paraId="5F927A66" w14:textId="77777777" w:rsidTr="00F577AB">
        <w:trPr>
          <w:trHeight w:val="343"/>
        </w:trPr>
        <w:tc>
          <w:tcPr>
            <w:tcW w:w="1460" w:type="dxa"/>
          </w:tcPr>
          <w:p w14:paraId="1E2FEBC1" w14:textId="77777777" w:rsidR="006E08A4" w:rsidRPr="005A2A0A" w:rsidRDefault="006E08A4" w:rsidP="00F577AB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Excelente</w:t>
            </w:r>
          </w:p>
        </w:tc>
        <w:tc>
          <w:tcPr>
            <w:tcW w:w="1319" w:type="dxa"/>
          </w:tcPr>
          <w:p w14:paraId="2F73FD3E" w14:textId="7C5FC693" w:rsidR="006E08A4" w:rsidRPr="005A2A0A" w:rsidRDefault="00F577AB" w:rsidP="00F577AB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93</w:t>
            </w:r>
          </w:p>
        </w:tc>
        <w:tc>
          <w:tcPr>
            <w:tcW w:w="1318" w:type="dxa"/>
          </w:tcPr>
          <w:p w14:paraId="0FC6FADC" w14:textId="032FC781" w:rsidR="006E08A4" w:rsidRPr="005A2A0A" w:rsidRDefault="00F577AB" w:rsidP="00F577AB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36.3%</w:t>
            </w:r>
          </w:p>
        </w:tc>
      </w:tr>
      <w:tr w:rsidR="006E08A4" w:rsidRPr="005A2A0A" w14:paraId="7DFF1235" w14:textId="77777777" w:rsidTr="00F577AB">
        <w:trPr>
          <w:trHeight w:val="366"/>
        </w:trPr>
        <w:tc>
          <w:tcPr>
            <w:tcW w:w="1460" w:type="dxa"/>
          </w:tcPr>
          <w:p w14:paraId="116E88E7" w14:textId="77777777" w:rsidR="006E08A4" w:rsidRPr="005A2A0A" w:rsidRDefault="006E08A4" w:rsidP="00F577AB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Buena</w:t>
            </w:r>
          </w:p>
        </w:tc>
        <w:tc>
          <w:tcPr>
            <w:tcW w:w="1319" w:type="dxa"/>
          </w:tcPr>
          <w:p w14:paraId="5886C455" w14:textId="28B86558" w:rsidR="006E08A4" w:rsidRPr="005A2A0A" w:rsidRDefault="00F577AB" w:rsidP="00F577AB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71</w:t>
            </w:r>
          </w:p>
        </w:tc>
        <w:tc>
          <w:tcPr>
            <w:tcW w:w="1318" w:type="dxa"/>
          </w:tcPr>
          <w:p w14:paraId="4526D67B" w14:textId="42DFFBF4" w:rsidR="006E08A4" w:rsidRPr="005A2A0A" w:rsidRDefault="00F577AB" w:rsidP="00F577AB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27.7%</w:t>
            </w:r>
          </w:p>
        </w:tc>
      </w:tr>
      <w:tr w:rsidR="006E08A4" w:rsidRPr="005A2A0A" w14:paraId="23789D71" w14:textId="77777777" w:rsidTr="00F577AB">
        <w:trPr>
          <w:trHeight w:val="366"/>
        </w:trPr>
        <w:tc>
          <w:tcPr>
            <w:tcW w:w="1460" w:type="dxa"/>
          </w:tcPr>
          <w:p w14:paraId="3D6A802D" w14:textId="77777777" w:rsidR="006E08A4" w:rsidRPr="005A2A0A" w:rsidRDefault="006E08A4" w:rsidP="00F577AB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Aceptable</w:t>
            </w:r>
          </w:p>
        </w:tc>
        <w:tc>
          <w:tcPr>
            <w:tcW w:w="1319" w:type="dxa"/>
          </w:tcPr>
          <w:p w14:paraId="39C4212E" w14:textId="65052AF1" w:rsidR="006E08A4" w:rsidRPr="005A2A0A" w:rsidRDefault="00F577AB" w:rsidP="00F577AB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43</w:t>
            </w:r>
          </w:p>
        </w:tc>
        <w:tc>
          <w:tcPr>
            <w:tcW w:w="1318" w:type="dxa"/>
          </w:tcPr>
          <w:p w14:paraId="3439AB97" w14:textId="654F3AAA" w:rsidR="006E08A4" w:rsidRPr="005A2A0A" w:rsidRDefault="00F577AB" w:rsidP="00F577AB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16.7%</w:t>
            </w:r>
          </w:p>
        </w:tc>
      </w:tr>
      <w:tr w:rsidR="006E08A4" w:rsidRPr="005A2A0A" w14:paraId="264A7778" w14:textId="77777777" w:rsidTr="00F577AB">
        <w:trPr>
          <w:trHeight w:val="343"/>
        </w:trPr>
        <w:tc>
          <w:tcPr>
            <w:tcW w:w="1460" w:type="dxa"/>
          </w:tcPr>
          <w:p w14:paraId="653CCCDE" w14:textId="77777777" w:rsidR="006E08A4" w:rsidRPr="005A2A0A" w:rsidRDefault="006E08A4" w:rsidP="00F577AB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lastRenderedPageBreak/>
              <w:t>Regular</w:t>
            </w:r>
          </w:p>
        </w:tc>
        <w:tc>
          <w:tcPr>
            <w:tcW w:w="1319" w:type="dxa"/>
          </w:tcPr>
          <w:p w14:paraId="688C522A" w14:textId="3F4362E3" w:rsidR="006E08A4" w:rsidRPr="005A2A0A" w:rsidRDefault="00F577AB" w:rsidP="00F577AB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20</w:t>
            </w:r>
          </w:p>
        </w:tc>
        <w:tc>
          <w:tcPr>
            <w:tcW w:w="1318" w:type="dxa"/>
          </w:tcPr>
          <w:p w14:paraId="6A38F636" w14:textId="690CBB0C" w:rsidR="006E08A4" w:rsidRPr="005A2A0A" w:rsidRDefault="00F577AB" w:rsidP="00F577AB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7.8%</w:t>
            </w:r>
          </w:p>
        </w:tc>
      </w:tr>
      <w:tr w:rsidR="006E08A4" w:rsidRPr="005A2A0A" w14:paraId="3D987F43" w14:textId="77777777" w:rsidTr="00F577AB">
        <w:trPr>
          <w:trHeight w:val="366"/>
        </w:trPr>
        <w:tc>
          <w:tcPr>
            <w:tcW w:w="1460" w:type="dxa"/>
          </w:tcPr>
          <w:p w14:paraId="11D6081E" w14:textId="77777777" w:rsidR="006E08A4" w:rsidRPr="005A2A0A" w:rsidRDefault="006E08A4" w:rsidP="00F577AB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Mala</w:t>
            </w:r>
          </w:p>
        </w:tc>
        <w:tc>
          <w:tcPr>
            <w:tcW w:w="1319" w:type="dxa"/>
          </w:tcPr>
          <w:p w14:paraId="5B02325A" w14:textId="4747AF03" w:rsidR="006E08A4" w:rsidRPr="005A2A0A" w:rsidRDefault="00F577AB" w:rsidP="00F577AB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29</w:t>
            </w:r>
          </w:p>
        </w:tc>
        <w:tc>
          <w:tcPr>
            <w:tcW w:w="1318" w:type="dxa"/>
          </w:tcPr>
          <w:p w14:paraId="7E527D29" w14:textId="7CF160EF" w:rsidR="006E08A4" w:rsidRPr="005A2A0A" w:rsidRDefault="00F577AB" w:rsidP="00F577AB">
            <w:pPr>
              <w:jc w:val="center"/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Cs/>
                <w:color w:val="000000"/>
                <w:lang w:eastAsia="es-CO"/>
              </w:rPr>
              <w:t>11.3%</w:t>
            </w:r>
          </w:p>
        </w:tc>
      </w:tr>
      <w:tr w:rsidR="006E08A4" w:rsidRPr="005A2A0A" w14:paraId="55921D40" w14:textId="77777777" w:rsidTr="00F577AB">
        <w:trPr>
          <w:trHeight w:val="343"/>
        </w:trPr>
        <w:tc>
          <w:tcPr>
            <w:tcW w:w="1460" w:type="dxa"/>
          </w:tcPr>
          <w:p w14:paraId="1E570070" w14:textId="77777777" w:rsidR="006E08A4" w:rsidRPr="005A2A0A" w:rsidRDefault="006E08A4" w:rsidP="00F577AB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319" w:type="dxa"/>
          </w:tcPr>
          <w:p w14:paraId="0AB88D07" w14:textId="279990C3" w:rsidR="006E08A4" w:rsidRPr="005A2A0A" w:rsidRDefault="00F577AB" w:rsidP="00F577AB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256</w:t>
            </w:r>
          </w:p>
        </w:tc>
        <w:tc>
          <w:tcPr>
            <w:tcW w:w="1318" w:type="dxa"/>
          </w:tcPr>
          <w:p w14:paraId="6506EBD4" w14:textId="77777777" w:rsidR="006E08A4" w:rsidRPr="005A2A0A" w:rsidRDefault="006E08A4" w:rsidP="00F577AB">
            <w:pPr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</w:pPr>
            <w:r w:rsidRPr="005A2A0A">
              <w:rPr>
                <w:rFonts w:ascii="Tw Cen MT" w:eastAsia="Times New Roman" w:hAnsi="Tw Cen MT" w:cs="Calibri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14:paraId="6178F60B" w14:textId="660B1214" w:rsidR="006E08A4" w:rsidRDefault="00F577AB" w:rsidP="004506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95EEAB9" w14:textId="77777777" w:rsidR="00E9430A" w:rsidRDefault="00E9430A" w:rsidP="006E0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DA819" w14:textId="77777777" w:rsidR="00E9430A" w:rsidRDefault="00E9430A" w:rsidP="006E0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3DD02" w14:textId="195F6AB7" w:rsidR="006E08A4" w:rsidRPr="001869ED" w:rsidRDefault="006E08A4" w:rsidP="006E0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9ED">
        <w:rPr>
          <w:rFonts w:ascii="Times New Roman" w:hAnsi="Times New Roman" w:cs="Times New Roman"/>
          <w:b/>
          <w:sz w:val="24"/>
          <w:szCs w:val="24"/>
        </w:rPr>
        <w:t>Análisis</w:t>
      </w:r>
    </w:p>
    <w:p w14:paraId="75C28DD5" w14:textId="3B9854BB" w:rsidR="006E08A4" w:rsidRPr="001869ED" w:rsidRDefault="006E08A4" w:rsidP="006E08A4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ED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Con respecto al factor ‘</w:t>
      </w:r>
      <w:r w:rsidRPr="006E0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CO"/>
        </w:rPr>
        <w:t>Amabilidad’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 xml:space="preserve"> se pudo observar que el </w:t>
      </w:r>
      <w:r w:rsidR="00A702F2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53.9</w:t>
      </w:r>
      <w:r w:rsidRPr="001869ED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% de los usuarios</w:t>
      </w:r>
      <w:r w:rsidRPr="001869E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CO"/>
        </w:rPr>
        <w:t xml:space="preserve"> consideran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CO"/>
        </w:rPr>
        <w:t xml:space="preserve">el servicio fue excelente, el </w:t>
      </w:r>
      <w:r w:rsidR="00A702F2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CO"/>
        </w:rPr>
        <w:t>27.3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CO"/>
        </w:rPr>
        <w:t xml:space="preserve">% bueno, el </w:t>
      </w:r>
      <w:r w:rsidR="00A702F2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CO"/>
        </w:rPr>
        <w:t>10.5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CO"/>
        </w:rPr>
        <w:t xml:space="preserve">% aceptable, el </w:t>
      </w:r>
      <w:r w:rsidR="00A702F2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CO"/>
        </w:rPr>
        <w:t>3.9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CO"/>
        </w:rPr>
        <w:t xml:space="preserve">% regular y el </w:t>
      </w:r>
      <w:r w:rsidR="00A702F2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CO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CO"/>
        </w:rPr>
        <w:t>% malo</w:t>
      </w:r>
      <w:r w:rsidRPr="001869ED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CO"/>
        </w:rPr>
        <w:t xml:space="preserve">, por lo cual se puede concluir </w:t>
      </w:r>
      <w:r w:rsidRPr="001869ED">
        <w:rPr>
          <w:rFonts w:ascii="Times New Roman" w:hAnsi="Times New Roman" w:cs="Times New Roman"/>
          <w:sz w:val="24"/>
          <w:szCs w:val="24"/>
        </w:rPr>
        <w:t xml:space="preserve">que la mayoría de nuestros usuarios se encuentran satisfechos con la atención agradable que ofrece la ANH. Sin embargo, se considera implementar acciones de mejora para lograr alcanzar una calificación </w:t>
      </w:r>
      <w:r w:rsidR="00A702F2">
        <w:rPr>
          <w:rFonts w:ascii="Times New Roman" w:hAnsi="Times New Roman" w:cs="Times New Roman"/>
          <w:sz w:val="24"/>
          <w:szCs w:val="24"/>
        </w:rPr>
        <w:t xml:space="preserve">aún más excelente </w:t>
      </w:r>
      <w:r w:rsidRPr="001869ED">
        <w:rPr>
          <w:rFonts w:ascii="Times New Roman" w:hAnsi="Times New Roman" w:cs="Times New Roman"/>
          <w:sz w:val="24"/>
          <w:szCs w:val="24"/>
        </w:rPr>
        <w:t xml:space="preserve">y brindar la mejor atención a los ciudadanos. </w:t>
      </w:r>
    </w:p>
    <w:p w14:paraId="43C82B2D" w14:textId="6669E0DD" w:rsidR="006E08A4" w:rsidRPr="001869ED" w:rsidRDefault="006E08A4" w:rsidP="006E08A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ED">
        <w:rPr>
          <w:rFonts w:ascii="Times New Roman" w:hAnsi="Times New Roman" w:cs="Times New Roman"/>
          <w:sz w:val="24"/>
          <w:szCs w:val="24"/>
        </w:rPr>
        <w:t>En cuanto al factor de ‘</w:t>
      </w:r>
      <w:r w:rsidRPr="006E08A4">
        <w:rPr>
          <w:rFonts w:ascii="Times New Roman" w:hAnsi="Times New Roman" w:cs="Times New Roman"/>
          <w:b/>
          <w:sz w:val="24"/>
          <w:szCs w:val="24"/>
        </w:rPr>
        <w:t>Oportunidad</w:t>
      </w:r>
      <w:r>
        <w:rPr>
          <w:rFonts w:ascii="Times New Roman" w:hAnsi="Times New Roman" w:cs="Times New Roman"/>
          <w:sz w:val="24"/>
          <w:szCs w:val="24"/>
        </w:rPr>
        <w:t xml:space="preserve">’ el </w:t>
      </w:r>
      <w:r w:rsidR="00A702F2">
        <w:rPr>
          <w:rFonts w:ascii="Times New Roman" w:hAnsi="Times New Roman" w:cs="Times New Roman"/>
          <w:sz w:val="24"/>
          <w:szCs w:val="24"/>
        </w:rPr>
        <w:t>34.3</w:t>
      </w:r>
      <w:r w:rsidRPr="001869ED">
        <w:rPr>
          <w:rFonts w:ascii="Times New Roman" w:hAnsi="Times New Roman" w:cs="Times New Roman"/>
          <w:sz w:val="24"/>
          <w:szCs w:val="24"/>
        </w:rPr>
        <w:t>% de los ciudadanos lo consideran</w:t>
      </w:r>
      <w:r>
        <w:rPr>
          <w:rFonts w:ascii="Times New Roman" w:hAnsi="Times New Roman" w:cs="Times New Roman"/>
          <w:sz w:val="24"/>
          <w:szCs w:val="24"/>
        </w:rPr>
        <w:t xml:space="preserve"> excelente, el </w:t>
      </w:r>
      <w:r w:rsidR="00A702F2">
        <w:rPr>
          <w:rFonts w:ascii="Times New Roman" w:hAnsi="Times New Roman" w:cs="Times New Roman"/>
          <w:sz w:val="24"/>
          <w:szCs w:val="24"/>
        </w:rPr>
        <w:t>30.8</w:t>
      </w:r>
      <w:r>
        <w:rPr>
          <w:rFonts w:ascii="Times New Roman" w:hAnsi="Times New Roman" w:cs="Times New Roman"/>
          <w:sz w:val="24"/>
          <w:szCs w:val="24"/>
        </w:rPr>
        <w:t xml:space="preserve">% bueno, el </w:t>
      </w:r>
      <w:r w:rsidR="00A702F2">
        <w:rPr>
          <w:rFonts w:ascii="Times New Roman" w:hAnsi="Times New Roman" w:cs="Times New Roman"/>
          <w:sz w:val="24"/>
          <w:szCs w:val="24"/>
        </w:rPr>
        <w:t>20.7</w:t>
      </w:r>
      <w:r>
        <w:rPr>
          <w:rFonts w:ascii="Times New Roman" w:hAnsi="Times New Roman" w:cs="Times New Roman"/>
          <w:sz w:val="24"/>
          <w:szCs w:val="24"/>
        </w:rPr>
        <w:t>% aceptable, el</w:t>
      </w:r>
      <w:r w:rsidR="00A702F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% regular y el </w:t>
      </w:r>
      <w:r w:rsidR="00A702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mala</w:t>
      </w:r>
      <w:r w:rsidRPr="001869ED">
        <w:rPr>
          <w:rFonts w:ascii="Times New Roman" w:hAnsi="Times New Roman" w:cs="Times New Roman"/>
          <w:sz w:val="24"/>
          <w:szCs w:val="24"/>
        </w:rPr>
        <w:t xml:space="preserve">. Con estos resultados se muestra que la ciudadanía en su mayoría califica como </w:t>
      </w:r>
      <w:r w:rsidR="00A702F2">
        <w:rPr>
          <w:rFonts w:ascii="Times New Roman" w:hAnsi="Times New Roman" w:cs="Times New Roman"/>
          <w:sz w:val="24"/>
          <w:szCs w:val="24"/>
        </w:rPr>
        <w:t xml:space="preserve">excelente </w:t>
      </w:r>
      <w:r w:rsidRPr="001869ED">
        <w:rPr>
          <w:rFonts w:ascii="Times New Roman" w:hAnsi="Times New Roman" w:cs="Times New Roman"/>
          <w:sz w:val="24"/>
          <w:szCs w:val="24"/>
        </w:rPr>
        <w:t xml:space="preserve">acerca de sí el servicio fue oportuno, </w:t>
      </w:r>
      <w:r w:rsidR="00A702F2">
        <w:rPr>
          <w:rFonts w:ascii="Times New Roman" w:hAnsi="Times New Roman" w:cs="Times New Roman"/>
          <w:sz w:val="24"/>
          <w:szCs w:val="24"/>
        </w:rPr>
        <w:t xml:space="preserve">aunque </w:t>
      </w:r>
      <w:r w:rsidR="0003602E">
        <w:rPr>
          <w:rFonts w:ascii="Times New Roman" w:hAnsi="Times New Roman" w:cs="Times New Roman"/>
          <w:sz w:val="24"/>
          <w:szCs w:val="24"/>
        </w:rPr>
        <w:t xml:space="preserve">es </w:t>
      </w:r>
      <w:r w:rsidR="0003602E" w:rsidRPr="001869ED">
        <w:rPr>
          <w:rFonts w:ascii="Times New Roman" w:hAnsi="Times New Roman" w:cs="Times New Roman"/>
          <w:sz w:val="24"/>
          <w:szCs w:val="24"/>
        </w:rPr>
        <w:t>conveniente</w:t>
      </w:r>
      <w:r w:rsidRPr="001869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869ED">
        <w:rPr>
          <w:rFonts w:ascii="Times New Roman" w:hAnsi="Times New Roman" w:cs="Times New Roman"/>
          <w:sz w:val="24"/>
          <w:szCs w:val="24"/>
        </w:rPr>
        <w:t xml:space="preserve">evaluar el proceso de atención y servicio del cliente para lograr un </w:t>
      </w:r>
      <w:r>
        <w:rPr>
          <w:rFonts w:ascii="Times New Roman" w:hAnsi="Times New Roman" w:cs="Times New Roman"/>
          <w:sz w:val="24"/>
          <w:szCs w:val="24"/>
        </w:rPr>
        <w:t>mejor servicio.</w:t>
      </w:r>
    </w:p>
    <w:p w14:paraId="712D2E7E" w14:textId="2DFDBD76" w:rsidR="006E08A4" w:rsidRPr="001869ED" w:rsidRDefault="006E08A4" w:rsidP="006E08A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cuanto al factor de </w:t>
      </w:r>
      <w:r w:rsidRPr="006E08A4">
        <w:rPr>
          <w:rFonts w:ascii="Times New Roman" w:hAnsi="Times New Roman" w:cs="Times New Roman"/>
          <w:b/>
          <w:sz w:val="24"/>
          <w:szCs w:val="24"/>
        </w:rPr>
        <w:t>‘Confiabilidad’</w:t>
      </w:r>
      <w:r>
        <w:rPr>
          <w:rFonts w:ascii="Times New Roman" w:hAnsi="Times New Roman" w:cs="Times New Roman"/>
          <w:sz w:val="24"/>
          <w:szCs w:val="24"/>
        </w:rPr>
        <w:t xml:space="preserve"> el </w:t>
      </w:r>
      <w:r w:rsidR="00A702F2">
        <w:rPr>
          <w:rFonts w:ascii="Times New Roman" w:hAnsi="Times New Roman" w:cs="Times New Roman"/>
          <w:sz w:val="24"/>
          <w:szCs w:val="24"/>
        </w:rPr>
        <w:t>49.2</w:t>
      </w:r>
      <w:r w:rsidRPr="001869ED">
        <w:rPr>
          <w:rFonts w:ascii="Times New Roman" w:hAnsi="Times New Roman" w:cs="Times New Roman"/>
          <w:sz w:val="24"/>
          <w:szCs w:val="24"/>
        </w:rPr>
        <w:t>% lo consideran</w:t>
      </w:r>
      <w:r>
        <w:rPr>
          <w:rFonts w:ascii="Times New Roman" w:hAnsi="Times New Roman" w:cs="Times New Roman"/>
          <w:sz w:val="24"/>
          <w:szCs w:val="24"/>
        </w:rPr>
        <w:t xml:space="preserve"> excelente, el </w:t>
      </w:r>
      <w:r w:rsidR="00A702F2">
        <w:rPr>
          <w:rFonts w:ascii="Times New Roman" w:hAnsi="Times New Roman" w:cs="Times New Roman"/>
          <w:sz w:val="24"/>
          <w:szCs w:val="24"/>
        </w:rPr>
        <w:t>26.9</w:t>
      </w:r>
      <w:r>
        <w:rPr>
          <w:rFonts w:ascii="Times New Roman" w:hAnsi="Times New Roman" w:cs="Times New Roman"/>
          <w:sz w:val="24"/>
          <w:szCs w:val="24"/>
        </w:rPr>
        <w:t xml:space="preserve">% bueno, el </w:t>
      </w:r>
      <w:r w:rsidR="00A702F2"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% aceptable, el </w:t>
      </w:r>
      <w:r w:rsidR="00A702F2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% regular y el </w:t>
      </w:r>
      <w:r w:rsidR="00A702F2"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>% malo</w:t>
      </w:r>
      <w:r w:rsidRPr="001869ED">
        <w:rPr>
          <w:rFonts w:ascii="Times New Roman" w:hAnsi="Times New Roman" w:cs="Times New Roman"/>
          <w:sz w:val="24"/>
          <w:szCs w:val="24"/>
        </w:rPr>
        <w:t xml:space="preserve">. </w:t>
      </w:r>
      <w:r w:rsidR="00540D81">
        <w:rPr>
          <w:rFonts w:ascii="Times New Roman" w:hAnsi="Times New Roman" w:cs="Times New Roman"/>
          <w:sz w:val="24"/>
          <w:szCs w:val="24"/>
        </w:rPr>
        <w:t xml:space="preserve">Se puede concluir que  </w:t>
      </w:r>
      <w:r w:rsidRPr="001869ED">
        <w:rPr>
          <w:rFonts w:ascii="Times New Roman" w:hAnsi="Times New Roman" w:cs="Times New Roman"/>
          <w:sz w:val="24"/>
          <w:szCs w:val="24"/>
        </w:rPr>
        <w:t xml:space="preserve"> los ciudadanos se</w:t>
      </w:r>
      <w:r>
        <w:rPr>
          <w:rFonts w:ascii="Times New Roman" w:hAnsi="Times New Roman" w:cs="Times New Roman"/>
          <w:sz w:val="24"/>
          <w:szCs w:val="24"/>
        </w:rPr>
        <w:t xml:space="preserve"> sienten</w:t>
      </w:r>
      <w:r w:rsidRPr="001869ED">
        <w:rPr>
          <w:rFonts w:ascii="Times New Roman" w:hAnsi="Times New Roman" w:cs="Times New Roman"/>
          <w:sz w:val="24"/>
          <w:szCs w:val="24"/>
        </w:rPr>
        <w:t xml:space="preserve"> confiables frente al servicio brindado, no obstante, se deben </w:t>
      </w:r>
      <w:r>
        <w:rPr>
          <w:rFonts w:ascii="Times New Roman" w:hAnsi="Times New Roman" w:cs="Times New Roman"/>
          <w:sz w:val="24"/>
          <w:szCs w:val="24"/>
        </w:rPr>
        <w:t>implemen</w:t>
      </w:r>
      <w:r w:rsidRPr="001869ED">
        <w:rPr>
          <w:rFonts w:ascii="Times New Roman" w:hAnsi="Times New Roman" w:cs="Times New Roman"/>
          <w:sz w:val="24"/>
          <w:szCs w:val="24"/>
        </w:rPr>
        <w:t>tar estrategias de mejora que permitan aumentar la confianza para aquellos ciudadanos restantes.</w:t>
      </w:r>
    </w:p>
    <w:p w14:paraId="6D5D8D1C" w14:textId="732AB3DF" w:rsidR="006E08A4" w:rsidRPr="001869ED" w:rsidRDefault="006E08A4" w:rsidP="006E08A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ED">
        <w:rPr>
          <w:rFonts w:ascii="Times New Roman" w:hAnsi="Times New Roman" w:cs="Times New Roman"/>
          <w:sz w:val="24"/>
          <w:szCs w:val="24"/>
        </w:rPr>
        <w:t>Conforme al factor de ‘</w:t>
      </w:r>
      <w:r w:rsidRPr="00540D81">
        <w:rPr>
          <w:rFonts w:ascii="Times New Roman" w:hAnsi="Times New Roman" w:cs="Times New Roman"/>
          <w:b/>
          <w:sz w:val="24"/>
          <w:szCs w:val="24"/>
        </w:rPr>
        <w:t>Accesibilidad</w:t>
      </w:r>
      <w:r w:rsidR="00540D81">
        <w:rPr>
          <w:rFonts w:ascii="Times New Roman" w:hAnsi="Times New Roman" w:cs="Times New Roman"/>
          <w:sz w:val="24"/>
          <w:szCs w:val="24"/>
        </w:rPr>
        <w:t xml:space="preserve">, el </w:t>
      </w:r>
      <w:r w:rsidR="00A702F2">
        <w:rPr>
          <w:rFonts w:ascii="Times New Roman" w:hAnsi="Times New Roman" w:cs="Times New Roman"/>
          <w:sz w:val="24"/>
          <w:szCs w:val="24"/>
        </w:rPr>
        <w:t>38.6</w:t>
      </w:r>
      <w:r w:rsidRPr="001869ED">
        <w:rPr>
          <w:rFonts w:ascii="Times New Roman" w:hAnsi="Times New Roman" w:cs="Times New Roman"/>
          <w:sz w:val="24"/>
          <w:szCs w:val="24"/>
        </w:rPr>
        <w:t>% de la población lo califican excelente</w:t>
      </w:r>
      <w:r w:rsidR="00540D81">
        <w:rPr>
          <w:rFonts w:ascii="Times New Roman" w:hAnsi="Times New Roman" w:cs="Times New Roman"/>
          <w:sz w:val="24"/>
          <w:szCs w:val="24"/>
        </w:rPr>
        <w:t xml:space="preserve">, el </w:t>
      </w:r>
      <w:r w:rsidR="00A702F2">
        <w:rPr>
          <w:rFonts w:ascii="Times New Roman" w:hAnsi="Times New Roman" w:cs="Times New Roman"/>
          <w:sz w:val="24"/>
          <w:szCs w:val="24"/>
        </w:rPr>
        <w:t>26.9</w:t>
      </w:r>
      <w:r w:rsidR="00540D81">
        <w:rPr>
          <w:rFonts w:ascii="Times New Roman" w:hAnsi="Times New Roman" w:cs="Times New Roman"/>
          <w:sz w:val="24"/>
          <w:szCs w:val="24"/>
        </w:rPr>
        <w:t>% sobresaliente, el 1</w:t>
      </w:r>
      <w:r w:rsidR="00A702F2">
        <w:rPr>
          <w:rFonts w:ascii="Times New Roman" w:hAnsi="Times New Roman" w:cs="Times New Roman"/>
          <w:sz w:val="24"/>
          <w:szCs w:val="24"/>
        </w:rPr>
        <w:t>7.1</w:t>
      </w:r>
      <w:r w:rsidR="00540D81">
        <w:rPr>
          <w:rFonts w:ascii="Times New Roman" w:hAnsi="Times New Roman" w:cs="Times New Roman"/>
          <w:sz w:val="24"/>
          <w:szCs w:val="24"/>
        </w:rPr>
        <w:t xml:space="preserve">% aceptable, el </w:t>
      </w:r>
      <w:r w:rsidR="00A702F2">
        <w:rPr>
          <w:rFonts w:ascii="Times New Roman" w:hAnsi="Times New Roman" w:cs="Times New Roman"/>
          <w:sz w:val="24"/>
          <w:szCs w:val="24"/>
        </w:rPr>
        <w:t>8.9</w:t>
      </w:r>
      <w:r w:rsidRPr="001869ED">
        <w:rPr>
          <w:rFonts w:ascii="Times New Roman" w:hAnsi="Times New Roman" w:cs="Times New Roman"/>
          <w:sz w:val="24"/>
          <w:szCs w:val="24"/>
        </w:rPr>
        <w:t xml:space="preserve">% </w:t>
      </w:r>
      <w:r w:rsidR="00540D81">
        <w:rPr>
          <w:rFonts w:ascii="Times New Roman" w:hAnsi="Times New Roman" w:cs="Times New Roman"/>
          <w:sz w:val="24"/>
          <w:szCs w:val="24"/>
        </w:rPr>
        <w:t xml:space="preserve">regular y el </w:t>
      </w:r>
      <w:r w:rsidR="00A702F2">
        <w:rPr>
          <w:rFonts w:ascii="Times New Roman" w:hAnsi="Times New Roman" w:cs="Times New Roman"/>
          <w:sz w:val="24"/>
          <w:szCs w:val="24"/>
        </w:rPr>
        <w:t>8.2</w:t>
      </w:r>
      <w:r w:rsidR="00540D81">
        <w:rPr>
          <w:rFonts w:ascii="Times New Roman" w:hAnsi="Times New Roman" w:cs="Times New Roman"/>
          <w:sz w:val="24"/>
          <w:szCs w:val="24"/>
        </w:rPr>
        <w:t>% malo</w:t>
      </w:r>
      <w:r w:rsidRPr="001869ED">
        <w:rPr>
          <w:rFonts w:ascii="Times New Roman" w:hAnsi="Times New Roman" w:cs="Times New Roman"/>
          <w:sz w:val="24"/>
          <w:szCs w:val="24"/>
        </w:rPr>
        <w:t xml:space="preserve">. Con respecto a estos resultados se puede evidenciar que los usuarios se encuentran satisfechos, sin embargo, se evidencia un alto porcentaje de ciudadanos </w:t>
      </w:r>
      <w:r w:rsidR="00A702F2">
        <w:rPr>
          <w:rFonts w:ascii="Times New Roman" w:hAnsi="Times New Roman" w:cs="Times New Roman"/>
          <w:sz w:val="24"/>
          <w:szCs w:val="24"/>
        </w:rPr>
        <w:t>que no están conformes con</w:t>
      </w:r>
      <w:r w:rsidRPr="001869ED">
        <w:rPr>
          <w:rFonts w:ascii="Times New Roman" w:hAnsi="Times New Roman" w:cs="Times New Roman"/>
          <w:sz w:val="24"/>
          <w:szCs w:val="24"/>
        </w:rPr>
        <w:t xml:space="preserve"> este factor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69ED">
        <w:rPr>
          <w:rFonts w:ascii="Times New Roman" w:hAnsi="Times New Roman" w:cs="Times New Roman"/>
          <w:sz w:val="24"/>
          <w:szCs w:val="24"/>
        </w:rPr>
        <w:t xml:space="preserve"> por lo cual es conveniente identificar aquellos inconvenientes que se presentan en los canales de atención que generan dificultad en su accesibilidad.</w:t>
      </w:r>
    </w:p>
    <w:p w14:paraId="38FB5665" w14:textId="3E8056C9" w:rsidR="006E08A4" w:rsidRPr="001869ED" w:rsidRDefault="006E08A4" w:rsidP="006E08A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9ED">
        <w:rPr>
          <w:rFonts w:ascii="Times New Roman" w:hAnsi="Times New Roman" w:cs="Times New Roman"/>
          <w:sz w:val="24"/>
          <w:szCs w:val="24"/>
        </w:rPr>
        <w:t xml:space="preserve">Para el factor </w:t>
      </w:r>
      <w:r w:rsidRPr="00540D81">
        <w:rPr>
          <w:rFonts w:ascii="Times New Roman" w:hAnsi="Times New Roman" w:cs="Times New Roman"/>
          <w:b/>
          <w:sz w:val="24"/>
          <w:szCs w:val="24"/>
        </w:rPr>
        <w:t>‘Tiempo de respuesta’</w:t>
      </w:r>
      <w:r w:rsidR="00540D81">
        <w:rPr>
          <w:rFonts w:ascii="Times New Roman" w:hAnsi="Times New Roman" w:cs="Times New Roman"/>
          <w:sz w:val="24"/>
          <w:szCs w:val="24"/>
        </w:rPr>
        <w:t xml:space="preserve"> el </w:t>
      </w:r>
      <w:r w:rsidR="00A702F2">
        <w:rPr>
          <w:rFonts w:ascii="Times New Roman" w:hAnsi="Times New Roman" w:cs="Times New Roman"/>
          <w:sz w:val="24"/>
          <w:szCs w:val="24"/>
        </w:rPr>
        <w:t>36.3</w:t>
      </w:r>
      <w:r w:rsidRPr="001869ED">
        <w:rPr>
          <w:rFonts w:ascii="Times New Roman" w:hAnsi="Times New Roman" w:cs="Times New Roman"/>
          <w:sz w:val="24"/>
          <w:szCs w:val="24"/>
        </w:rPr>
        <w:t>% de los usuari</w:t>
      </w:r>
      <w:r w:rsidR="00540D81">
        <w:rPr>
          <w:rFonts w:ascii="Times New Roman" w:hAnsi="Times New Roman" w:cs="Times New Roman"/>
          <w:sz w:val="24"/>
          <w:szCs w:val="24"/>
        </w:rPr>
        <w:t>os lo califican excelente, el</w:t>
      </w:r>
      <w:r w:rsidR="00A702F2">
        <w:rPr>
          <w:rFonts w:ascii="Times New Roman" w:hAnsi="Times New Roman" w:cs="Times New Roman"/>
          <w:sz w:val="24"/>
          <w:szCs w:val="24"/>
        </w:rPr>
        <w:t xml:space="preserve"> 27.7</w:t>
      </w:r>
      <w:r w:rsidR="00540D81">
        <w:rPr>
          <w:rFonts w:ascii="Times New Roman" w:hAnsi="Times New Roman" w:cs="Times New Roman"/>
          <w:sz w:val="24"/>
          <w:szCs w:val="24"/>
        </w:rPr>
        <w:t xml:space="preserve"> % bueno, el </w:t>
      </w:r>
      <w:r w:rsidR="00A702F2">
        <w:rPr>
          <w:rFonts w:ascii="Times New Roman" w:hAnsi="Times New Roman" w:cs="Times New Roman"/>
          <w:sz w:val="24"/>
          <w:szCs w:val="24"/>
        </w:rPr>
        <w:t>16.7</w:t>
      </w:r>
      <w:r w:rsidR="00540D81">
        <w:rPr>
          <w:rFonts w:ascii="Times New Roman" w:hAnsi="Times New Roman" w:cs="Times New Roman"/>
          <w:sz w:val="24"/>
          <w:szCs w:val="24"/>
        </w:rPr>
        <w:t xml:space="preserve">% aceptable, el </w:t>
      </w:r>
      <w:r w:rsidR="00A702F2">
        <w:rPr>
          <w:rFonts w:ascii="Times New Roman" w:hAnsi="Times New Roman" w:cs="Times New Roman"/>
          <w:sz w:val="24"/>
          <w:szCs w:val="24"/>
        </w:rPr>
        <w:t>7.8</w:t>
      </w:r>
      <w:r w:rsidR="00540D81">
        <w:rPr>
          <w:rFonts w:ascii="Times New Roman" w:hAnsi="Times New Roman" w:cs="Times New Roman"/>
          <w:sz w:val="24"/>
          <w:szCs w:val="24"/>
        </w:rPr>
        <w:t>% regular y el 1</w:t>
      </w:r>
      <w:r w:rsidR="00A702F2">
        <w:rPr>
          <w:rFonts w:ascii="Times New Roman" w:hAnsi="Times New Roman" w:cs="Times New Roman"/>
          <w:sz w:val="24"/>
          <w:szCs w:val="24"/>
        </w:rPr>
        <w:t>1.3</w:t>
      </w:r>
      <w:r w:rsidR="00540D81">
        <w:rPr>
          <w:rFonts w:ascii="Times New Roman" w:hAnsi="Times New Roman" w:cs="Times New Roman"/>
          <w:sz w:val="24"/>
          <w:szCs w:val="24"/>
        </w:rPr>
        <w:t>% malo</w:t>
      </w:r>
      <w:r w:rsidR="00153B95">
        <w:rPr>
          <w:rFonts w:ascii="Times New Roman" w:hAnsi="Times New Roman" w:cs="Times New Roman"/>
          <w:sz w:val="24"/>
          <w:szCs w:val="24"/>
        </w:rPr>
        <w:t xml:space="preserve">. </w:t>
      </w:r>
      <w:r w:rsidR="00A702F2">
        <w:rPr>
          <w:rFonts w:ascii="Times New Roman" w:hAnsi="Times New Roman" w:cs="Times New Roman"/>
          <w:sz w:val="24"/>
          <w:szCs w:val="24"/>
        </w:rPr>
        <w:t>Frente a este ítem podemos observar que la mayoría de los usuarios se encuentran satisfechos con los tiempos de respuestas</w:t>
      </w:r>
      <w:r w:rsidR="002E0744">
        <w:rPr>
          <w:rFonts w:ascii="Times New Roman" w:hAnsi="Times New Roman" w:cs="Times New Roman"/>
          <w:sz w:val="24"/>
          <w:szCs w:val="24"/>
        </w:rPr>
        <w:t xml:space="preserve">, </w:t>
      </w:r>
      <w:r w:rsidR="00A702F2">
        <w:rPr>
          <w:rFonts w:ascii="Times New Roman" w:hAnsi="Times New Roman" w:cs="Times New Roman"/>
          <w:sz w:val="24"/>
          <w:szCs w:val="24"/>
        </w:rPr>
        <w:t xml:space="preserve">sin embargo se tiene que identificar cual es el factor para la demora y realizar </w:t>
      </w:r>
      <w:r w:rsidR="002E0744">
        <w:rPr>
          <w:rFonts w:ascii="Times New Roman" w:hAnsi="Times New Roman" w:cs="Times New Roman"/>
          <w:sz w:val="24"/>
          <w:szCs w:val="24"/>
        </w:rPr>
        <w:t xml:space="preserve">alguna estrategia para el mejoramiento en los tiempos de </w:t>
      </w:r>
      <w:r w:rsidR="0003602E">
        <w:rPr>
          <w:rFonts w:ascii="Times New Roman" w:hAnsi="Times New Roman" w:cs="Times New Roman"/>
          <w:sz w:val="24"/>
          <w:szCs w:val="24"/>
        </w:rPr>
        <w:t>respuesta.</w:t>
      </w:r>
      <w:r w:rsidR="00153B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E37D6" w14:textId="77777777" w:rsidR="00153B95" w:rsidRDefault="00153B95" w:rsidP="00153B95">
      <w:pPr>
        <w:pStyle w:val="Sinespaciado"/>
        <w:rPr>
          <w:highlight w:val="yellow"/>
        </w:rPr>
      </w:pPr>
    </w:p>
    <w:sectPr w:rsidR="00153B95" w:rsidSect="006D2B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48E02" w14:textId="77777777" w:rsidR="00E91668" w:rsidRDefault="00E91668" w:rsidP="006D2B76">
      <w:pPr>
        <w:spacing w:after="0" w:line="240" w:lineRule="auto"/>
      </w:pPr>
      <w:r>
        <w:separator/>
      </w:r>
    </w:p>
  </w:endnote>
  <w:endnote w:type="continuationSeparator" w:id="0">
    <w:p w14:paraId="1EAFC8D5" w14:textId="77777777" w:rsidR="00E91668" w:rsidRDefault="00E91668" w:rsidP="006D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7313" w14:textId="77777777" w:rsidR="006E08A4" w:rsidRDefault="006E08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5887" w14:textId="77777777" w:rsidR="006E08A4" w:rsidRDefault="006E08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6A446" w14:textId="77777777" w:rsidR="006E08A4" w:rsidRDefault="006E08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96FD" w14:textId="77777777" w:rsidR="00E91668" w:rsidRDefault="00E91668" w:rsidP="006D2B76">
      <w:pPr>
        <w:spacing w:after="0" w:line="240" w:lineRule="auto"/>
      </w:pPr>
      <w:r>
        <w:separator/>
      </w:r>
    </w:p>
  </w:footnote>
  <w:footnote w:type="continuationSeparator" w:id="0">
    <w:p w14:paraId="4A80D715" w14:textId="77777777" w:rsidR="00E91668" w:rsidRDefault="00E91668" w:rsidP="006D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2CAC4" w14:textId="77777777" w:rsidR="006E08A4" w:rsidRDefault="0003602E">
    <w:pPr>
      <w:pStyle w:val="Encabezado"/>
    </w:pPr>
    <w:r>
      <w:rPr>
        <w:noProof/>
        <w:lang w:eastAsia="es-CO"/>
      </w:rPr>
      <w:pict w14:anchorId="4AD2C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221501" o:spid="_x0000_s2050" type="#_x0000_t75" style="position:absolute;margin-left:0;margin-top:0;width:441.85pt;height:218.2pt;z-index:-251657216;mso-position-horizontal:center;mso-position-horizontal-relative:margin;mso-position-vertical:center;mso-position-vertical-relative:margin" o:allowincell="f">
          <v:imagedata r:id="rId1" o:title="AN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6004" w14:textId="77777777" w:rsidR="006E08A4" w:rsidRDefault="0003602E">
    <w:pPr>
      <w:pStyle w:val="Encabezado"/>
    </w:pPr>
    <w:r>
      <w:rPr>
        <w:noProof/>
        <w:lang w:eastAsia="es-CO"/>
      </w:rPr>
      <w:pict w14:anchorId="13EA9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221502" o:spid="_x0000_s2051" type="#_x0000_t75" style="position:absolute;margin-left:0;margin-top:0;width:441.85pt;height:218.2pt;z-index:-251656192;mso-position-horizontal:center;mso-position-horizontal-relative:margin;mso-position-vertical:center;mso-position-vertical-relative:margin" o:allowincell="f">
          <v:imagedata r:id="rId1" o:title="AN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A51F" w14:textId="77777777" w:rsidR="006E08A4" w:rsidRDefault="0003602E">
    <w:pPr>
      <w:pStyle w:val="Encabezado"/>
    </w:pPr>
    <w:r>
      <w:rPr>
        <w:noProof/>
        <w:lang w:eastAsia="es-CO"/>
      </w:rPr>
      <w:pict w14:anchorId="29639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221500" o:spid="_x0000_s2049" type="#_x0000_t75" style="position:absolute;margin-left:0;margin-top:0;width:441.85pt;height:218.2pt;z-index:-251658240;mso-position-horizontal:center;mso-position-horizontal-relative:margin;mso-position-vertical:center;mso-position-vertical-relative:margin" o:allowincell="f">
          <v:imagedata r:id="rId1" o:title="AN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5C1B"/>
    <w:multiLevelType w:val="hybridMultilevel"/>
    <w:tmpl w:val="FFE6A95A"/>
    <w:lvl w:ilvl="0" w:tplc="5E2666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429F"/>
    <w:multiLevelType w:val="hybridMultilevel"/>
    <w:tmpl w:val="823CB8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4E69A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235B6"/>
    <w:multiLevelType w:val="hybridMultilevel"/>
    <w:tmpl w:val="643A9C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C7B4F"/>
    <w:multiLevelType w:val="hybridMultilevel"/>
    <w:tmpl w:val="8F925198"/>
    <w:lvl w:ilvl="0" w:tplc="1AC41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4100B"/>
    <w:multiLevelType w:val="hybridMultilevel"/>
    <w:tmpl w:val="643A9C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281"/>
    <w:rsid w:val="00001918"/>
    <w:rsid w:val="0003602E"/>
    <w:rsid w:val="000943EB"/>
    <w:rsid w:val="000C6B2A"/>
    <w:rsid w:val="000D3EB5"/>
    <w:rsid w:val="000E6DF7"/>
    <w:rsid w:val="001127E7"/>
    <w:rsid w:val="00153B95"/>
    <w:rsid w:val="00157094"/>
    <w:rsid w:val="00181A81"/>
    <w:rsid w:val="001869ED"/>
    <w:rsid w:val="001C014F"/>
    <w:rsid w:val="001E66E9"/>
    <w:rsid w:val="001F5E5A"/>
    <w:rsid w:val="001F6E9A"/>
    <w:rsid w:val="0022357F"/>
    <w:rsid w:val="00261281"/>
    <w:rsid w:val="00277891"/>
    <w:rsid w:val="00282409"/>
    <w:rsid w:val="002C62ED"/>
    <w:rsid w:val="002D2806"/>
    <w:rsid w:val="002E0744"/>
    <w:rsid w:val="002E3481"/>
    <w:rsid w:val="00303BDD"/>
    <w:rsid w:val="00312F7A"/>
    <w:rsid w:val="00370D10"/>
    <w:rsid w:val="003C0F19"/>
    <w:rsid w:val="003C7895"/>
    <w:rsid w:val="003E6B74"/>
    <w:rsid w:val="00443F29"/>
    <w:rsid w:val="004506A5"/>
    <w:rsid w:val="00457C1E"/>
    <w:rsid w:val="004D1BB2"/>
    <w:rsid w:val="0051372D"/>
    <w:rsid w:val="00540D81"/>
    <w:rsid w:val="00544E0E"/>
    <w:rsid w:val="005A2A0A"/>
    <w:rsid w:val="005B5B71"/>
    <w:rsid w:val="006332A1"/>
    <w:rsid w:val="0068384D"/>
    <w:rsid w:val="006D2B76"/>
    <w:rsid w:val="006E08A4"/>
    <w:rsid w:val="00734029"/>
    <w:rsid w:val="00740583"/>
    <w:rsid w:val="0084254E"/>
    <w:rsid w:val="008B6842"/>
    <w:rsid w:val="008E6D6A"/>
    <w:rsid w:val="00916F52"/>
    <w:rsid w:val="00930CA8"/>
    <w:rsid w:val="009312C1"/>
    <w:rsid w:val="00970A4C"/>
    <w:rsid w:val="00A03D83"/>
    <w:rsid w:val="00A32453"/>
    <w:rsid w:val="00A5730C"/>
    <w:rsid w:val="00A702F2"/>
    <w:rsid w:val="00A80D29"/>
    <w:rsid w:val="00A954E6"/>
    <w:rsid w:val="00AB4F5B"/>
    <w:rsid w:val="00AB6D82"/>
    <w:rsid w:val="00B27F71"/>
    <w:rsid w:val="00B34D61"/>
    <w:rsid w:val="00BC7E49"/>
    <w:rsid w:val="00BF3B8D"/>
    <w:rsid w:val="00C800FA"/>
    <w:rsid w:val="00C82C88"/>
    <w:rsid w:val="00C878A5"/>
    <w:rsid w:val="00CD1031"/>
    <w:rsid w:val="00D50F21"/>
    <w:rsid w:val="00D6492C"/>
    <w:rsid w:val="00D7094A"/>
    <w:rsid w:val="00E21FBB"/>
    <w:rsid w:val="00E252AE"/>
    <w:rsid w:val="00E91668"/>
    <w:rsid w:val="00E9430A"/>
    <w:rsid w:val="00EC23F5"/>
    <w:rsid w:val="00F577AB"/>
    <w:rsid w:val="00F76D4E"/>
    <w:rsid w:val="00FC0E3A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7C091184"/>
  <w15:chartTrackingRefBased/>
  <w15:docId w15:val="{4D3811C4-E6E7-4AEE-8565-4AB5E99E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12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2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2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B76"/>
  </w:style>
  <w:style w:type="paragraph" w:styleId="Piedepgina">
    <w:name w:val="footer"/>
    <w:basedOn w:val="Normal"/>
    <w:link w:val="PiedepginaCar"/>
    <w:uiPriority w:val="99"/>
    <w:unhideWhenUsed/>
    <w:rsid w:val="006D2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B76"/>
  </w:style>
  <w:style w:type="paragraph" w:styleId="NormalWeb">
    <w:name w:val="Normal (Web)"/>
    <w:basedOn w:val="Normal"/>
    <w:uiPriority w:val="99"/>
    <w:unhideWhenUsed/>
    <w:rsid w:val="001127E7"/>
    <w:pPr>
      <w:spacing w:before="100" w:beforeAutospacing="1" w:after="100" w:afterAutospacing="1" w:line="240" w:lineRule="auto"/>
    </w:pPr>
    <w:rPr>
      <w:rFonts w:ascii="Calibri" w:hAnsi="Calibri" w:cs="Calibri"/>
      <w:lang w:eastAsia="es-CO"/>
    </w:rPr>
  </w:style>
  <w:style w:type="table" w:styleId="Tablaconcuadrcula">
    <w:name w:val="Table Grid"/>
    <w:basedOn w:val="Tablanormal"/>
    <w:uiPriority w:val="39"/>
    <w:rsid w:val="002E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235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357F"/>
    <w:rPr>
      <w:color w:val="808080"/>
      <w:shd w:val="clear" w:color="auto" w:fill="E6E6E6"/>
    </w:rPr>
  </w:style>
  <w:style w:type="paragraph" w:styleId="Sinespaciado">
    <w:name w:val="No Spacing"/>
    <w:uiPriority w:val="1"/>
    <w:qFormat/>
    <w:rsid w:val="00223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ms.office.com/Pages/ResponsePage.aspx?id=DrPea0QGK0SmIp5xDDaB8UV0Hn5oTthEvcVG7sFyI2JUMTlMMjNEOTRISU9SNFFKNzBXRkwwQkRGOC4u" TargetMode="Externa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bg1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>
                <a:solidFill>
                  <a:schemeClr val="bg1"/>
                </a:solidFill>
              </a:rPr>
              <a:t>TIPO DE TRÁMITE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bg1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CANTIDAD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Hoja1!$A$2:$A$5</c:f>
              <c:strCache>
                <c:ptCount val="4"/>
                <c:pt idx="0">
                  <c:v>SOLICITUD DE INFORMACION</c:v>
                </c:pt>
                <c:pt idx="1">
                  <c:v>DERECHO DE PETICION</c:v>
                </c:pt>
                <c:pt idx="2">
                  <c:v>QUEJA</c:v>
                </c:pt>
                <c:pt idx="3">
                  <c:v>DENUNCIA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229</c:v>
                </c:pt>
                <c:pt idx="1">
                  <c:v>21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A1-4E51-A9B8-C2065947777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PORCENTAJE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Hoja1!$A$2:$A$5</c:f>
              <c:strCache>
                <c:ptCount val="4"/>
                <c:pt idx="0">
                  <c:v>SOLICITUD DE INFORMACION</c:v>
                </c:pt>
                <c:pt idx="1">
                  <c:v>DERECHO DE PETICION</c:v>
                </c:pt>
                <c:pt idx="2">
                  <c:v>QUEJA</c:v>
                </c:pt>
                <c:pt idx="3">
                  <c:v>DENUNCIA</c:v>
                </c:pt>
              </c:strCache>
            </c:strRef>
          </c:cat>
          <c:val>
            <c:numRef>
              <c:f>Hoja1!$C$2:$C$5</c:f>
              <c:numCache>
                <c:formatCode>0%</c:formatCode>
                <c:ptCount val="4"/>
                <c:pt idx="0">
                  <c:v>0.89400000000000002</c:v>
                </c:pt>
                <c:pt idx="1">
                  <c:v>8.2000000000000003E-2</c:v>
                </c:pt>
                <c:pt idx="2" formatCode="0.00%">
                  <c:v>1.9E-2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A1-4E51-A9B8-C2065947777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Hoja1!$A$2:$A$5</c:f>
              <c:strCache>
                <c:ptCount val="4"/>
                <c:pt idx="0">
                  <c:v>SOLICITUD DE INFORMACION</c:v>
                </c:pt>
                <c:pt idx="1">
                  <c:v>DERECHO DE PETICION</c:v>
                </c:pt>
                <c:pt idx="2">
                  <c:v>QUEJA</c:v>
                </c:pt>
                <c:pt idx="3">
                  <c:v>DENUNCIA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F3A1-4E51-A9B8-C206594777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03319808"/>
        <c:axId val="403314912"/>
      </c:barChart>
      <c:catAx>
        <c:axId val="403319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314912"/>
        <c:crosses val="autoZero"/>
        <c:auto val="1"/>
        <c:lblAlgn val="ctr"/>
        <c:lblOffset val="100"/>
        <c:noMultiLvlLbl val="0"/>
      </c:catAx>
      <c:valAx>
        <c:axId val="403314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319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AMABILIDAD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EXCELENTE</c:v>
                </c:pt>
                <c:pt idx="1">
                  <c:v>BUENA</c:v>
                </c:pt>
                <c:pt idx="2">
                  <c:v>ACEPTABLE</c:v>
                </c:pt>
                <c:pt idx="3">
                  <c:v>REGULAR</c:v>
                </c:pt>
                <c:pt idx="4">
                  <c:v>MALA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138</c:v>
                </c:pt>
                <c:pt idx="1">
                  <c:v>70</c:v>
                </c:pt>
                <c:pt idx="2">
                  <c:v>27</c:v>
                </c:pt>
                <c:pt idx="3">
                  <c:v>10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FE-44D6-BE80-A44E73595EE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PORCENTAJE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EXCELENTE</c:v>
                </c:pt>
                <c:pt idx="1">
                  <c:v>BUENA</c:v>
                </c:pt>
                <c:pt idx="2">
                  <c:v>ACEPTABLE</c:v>
                </c:pt>
                <c:pt idx="3">
                  <c:v>REGULAR</c:v>
                </c:pt>
                <c:pt idx="4">
                  <c:v>MALA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53.9</c:v>
                </c:pt>
                <c:pt idx="1">
                  <c:v>27.3</c:v>
                </c:pt>
                <c:pt idx="2">
                  <c:v>10.5</c:v>
                </c:pt>
                <c:pt idx="3">
                  <c:v>3.9</c:v>
                </c:pt>
                <c:pt idx="4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FE-44D6-BE80-A44E73595E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403322528"/>
        <c:axId val="403327968"/>
        <c:axId val="0"/>
      </c:bar3DChart>
      <c:catAx>
        <c:axId val="403322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327968"/>
        <c:crosses val="autoZero"/>
        <c:auto val="1"/>
        <c:lblAlgn val="ctr"/>
        <c:lblOffset val="100"/>
        <c:noMultiLvlLbl val="0"/>
      </c:catAx>
      <c:valAx>
        <c:axId val="4033279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03322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OPORTUNIDAD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9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EXCELENTE</c:v>
                </c:pt>
                <c:pt idx="1">
                  <c:v>BUENA</c:v>
                </c:pt>
                <c:pt idx="2">
                  <c:v>ACEPTABLE</c:v>
                </c:pt>
                <c:pt idx="3">
                  <c:v>REGULAR</c:v>
                </c:pt>
                <c:pt idx="4">
                  <c:v>MALA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88</c:v>
                </c:pt>
                <c:pt idx="1">
                  <c:v>79</c:v>
                </c:pt>
                <c:pt idx="2">
                  <c:v>53</c:v>
                </c:pt>
                <c:pt idx="3">
                  <c:v>18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76-4B3F-B670-6C885554CF8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PORCENTAJE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EXCELENTE</c:v>
                </c:pt>
                <c:pt idx="1">
                  <c:v>BUENA</c:v>
                </c:pt>
                <c:pt idx="2">
                  <c:v>ACEPTABLE</c:v>
                </c:pt>
                <c:pt idx="3">
                  <c:v>REGULAR</c:v>
                </c:pt>
                <c:pt idx="4">
                  <c:v>MALA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34.299999999999997</c:v>
                </c:pt>
                <c:pt idx="1">
                  <c:v>30.8</c:v>
                </c:pt>
                <c:pt idx="2">
                  <c:v>20.7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76-4B3F-B670-6C885554CF8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403320352"/>
        <c:axId val="403321440"/>
        <c:axId val="0"/>
      </c:bar3DChart>
      <c:catAx>
        <c:axId val="403320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321440"/>
        <c:crosses val="autoZero"/>
        <c:auto val="1"/>
        <c:lblAlgn val="ctr"/>
        <c:lblOffset val="100"/>
        <c:noMultiLvlLbl val="0"/>
      </c:catAx>
      <c:valAx>
        <c:axId val="4033214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0332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8301016496649259"/>
          <c:y val="7.1431455683424166E-3"/>
          <c:w val="0.58220382246033675"/>
          <c:h val="0.123627238902829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ACCESIBILIDAD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EXCELENTE</c:v>
                </c:pt>
                <c:pt idx="1">
                  <c:v>BUENA</c:v>
                </c:pt>
                <c:pt idx="2">
                  <c:v>ACEPTABLE</c:v>
                </c:pt>
                <c:pt idx="3">
                  <c:v>REGULAR</c:v>
                </c:pt>
                <c:pt idx="4">
                  <c:v>MALA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99</c:v>
                </c:pt>
                <c:pt idx="1">
                  <c:v>69</c:v>
                </c:pt>
                <c:pt idx="2">
                  <c:v>44</c:v>
                </c:pt>
                <c:pt idx="3">
                  <c:v>23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F0-4D1A-8890-35480777F29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PORCENTAJE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EXCELENTE</c:v>
                </c:pt>
                <c:pt idx="1">
                  <c:v>BUENA</c:v>
                </c:pt>
                <c:pt idx="2">
                  <c:v>ACEPTABLE</c:v>
                </c:pt>
                <c:pt idx="3">
                  <c:v>REGULAR</c:v>
                </c:pt>
                <c:pt idx="4">
                  <c:v>MALA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38.6</c:v>
                </c:pt>
                <c:pt idx="1">
                  <c:v>26.9</c:v>
                </c:pt>
                <c:pt idx="2">
                  <c:v>17.100000000000001</c:v>
                </c:pt>
                <c:pt idx="3">
                  <c:v>8.9</c:v>
                </c:pt>
                <c:pt idx="4">
                  <c:v>8.1999999999999993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F0-4D1A-8890-35480777F2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403323072"/>
        <c:axId val="403324160"/>
        <c:axId val="0"/>
      </c:bar3DChart>
      <c:catAx>
        <c:axId val="403323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324160"/>
        <c:crosses val="autoZero"/>
        <c:auto val="1"/>
        <c:lblAlgn val="ctr"/>
        <c:lblOffset val="100"/>
        <c:noMultiLvlLbl val="0"/>
      </c:catAx>
      <c:valAx>
        <c:axId val="4033241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0332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CONFIABILIDAD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EXCELENTE</c:v>
                </c:pt>
                <c:pt idx="1">
                  <c:v>BUENA</c:v>
                </c:pt>
                <c:pt idx="2">
                  <c:v>ACEPTABLE</c:v>
                </c:pt>
                <c:pt idx="3">
                  <c:v>REGULAR</c:v>
                </c:pt>
                <c:pt idx="4">
                  <c:v>MALA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126</c:v>
                </c:pt>
                <c:pt idx="1">
                  <c:v>69</c:v>
                </c:pt>
                <c:pt idx="2">
                  <c:v>31</c:v>
                </c:pt>
                <c:pt idx="3">
                  <c:v>11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8A-440F-9018-0DE2DF45FF6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PORCENTAJE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EXCELENTE</c:v>
                </c:pt>
                <c:pt idx="1">
                  <c:v>BUENA</c:v>
                </c:pt>
                <c:pt idx="2">
                  <c:v>ACEPTABLE</c:v>
                </c:pt>
                <c:pt idx="3">
                  <c:v>REGULAR</c:v>
                </c:pt>
                <c:pt idx="4">
                  <c:v>MALA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49.2</c:v>
                </c:pt>
                <c:pt idx="1">
                  <c:v>26.9</c:v>
                </c:pt>
                <c:pt idx="2">
                  <c:v>12.1</c:v>
                </c:pt>
                <c:pt idx="3">
                  <c:v>4.2</c:v>
                </c:pt>
                <c:pt idx="4">
                  <c:v>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8A-440F-9018-0DE2DF45FF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403326336"/>
        <c:axId val="403326880"/>
        <c:axId val="0"/>
      </c:bar3DChart>
      <c:catAx>
        <c:axId val="403326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326880"/>
        <c:crosses val="autoZero"/>
        <c:auto val="1"/>
        <c:lblAlgn val="ctr"/>
        <c:lblOffset val="100"/>
        <c:noMultiLvlLbl val="0"/>
      </c:catAx>
      <c:valAx>
        <c:axId val="403326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0332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CO" sz="1600"/>
              <a:t>TIEMPO</a:t>
            </a:r>
            <a:r>
              <a:rPr lang="es-CO" sz="1600" baseline="0"/>
              <a:t> DE RESPUESTA</a:t>
            </a:r>
            <a:endParaRPr lang="es-CO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EXCELENTE</c:v>
                </c:pt>
                <c:pt idx="1">
                  <c:v>BUENA</c:v>
                </c:pt>
                <c:pt idx="2">
                  <c:v>ACEPTABLE</c:v>
                </c:pt>
                <c:pt idx="3">
                  <c:v>REGULAR</c:v>
                </c:pt>
                <c:pt idx="4">
                  <c:v>MALA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93</c:v>
                </c:pt>
                <c:pt idx="1">
                  <c:v>71</c:v>
                </c:pt>
                <c:pt idx="2">
                  <c:v>43</c:v>
                </c:pt>
                <c:pt idx="3">
                  <c:v>20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83-477E-99BC-F17F8761682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PORCENTAJE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EXCELENTE</c:v>
                </c:pt>
                <c:pt idx="1">
                  <c:v>BUENA</c:v>
                </c:pt>
                <c:pt idx="2">
                  <c:v>ACEPTABLE</c:v>
                </c:pt>
                <c:pt idx="3">
                  <c:v>REGULAR</c:v>
                </c:pt>
                <c:pt idx="4">
                  <c:v>MALA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36.299999999999997</c:v>
                </c:pt>
                <c:pt idx="1">
                  <c:v>27.7</c:v>
                </c:pt>
                <c:pt idx="2">
                  <c:v>16.7</c:v>
                </c:pt>
                <c:pt idx="3">
                  <c:v>7.8</c:v>
                </c:pt>
                <c:pt idx="4">
                  <c:v>11.3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83-477E-99BC-F17F8761682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493091280"/>
        <c:axId val="493087472"/>
        <c:axId val="0"/>
      </c:bar3DChart>
      <c:catAx>
        <c:axId val="493091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3087472"/>
        <c:crosses val="autoZero"/>
        <c:auto val="1"/>
        <c:lblAlgn val="ctr"/>
        <c:lblOffset val="100"/>
        <c:noMultiLvlLbl val="0"/>
      </c:catAx>
      <c:valAx>
        <c:axId val="4930874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93091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BAFE52DC0F0E4D842EABD4A218E42E" ma:contentTypeVersion="2" ma:contentTypeDescription="Crear nuevo documento." ma:contentTypeScope="" ma:versionID="52b263663e53af53b37c7f7b85c91aad">
  <xsd:schema xmlns:xsd="http://www.w3.org/2001/XMLSchema" xmlns:xs="http://www.w3.org/2001/XMLSchema" xmlns:p="http://schemas.microsoft.com/office/2006/metadata/properties" xmlns:ns1="http://schemas.microsoft.com/sharepoint/v3" xmlns:ns2="4afde810-2293-4670-bb5c-117753097ca5" targetNamespace="http://schemas.microsoft.com/office/2006/metadata/properties" ma:root="true" ma:fieldsID="f80fb3e10a1309681584f0ace55822c2" ns1:_="" ns2:_="">
    <xsd:import namespace="http://schemas.microsoft.com/sharepoint/v3"/>
    <xsd:import namespace="4afde810-2293-4670-bb5c-117753097ca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e810-2293-4670-bb5c-117753097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2C2CFB-E1B8-4965-8AB2-D7B802584F38}"/>
</file>

<file path=customXml/itemProps2.xml><?xml version="1.0" encoding="utf-8"?>
<ds:datastoreItem xmlns:ds="http://schemas.openxmlformats.org/officeDocument/2006/customXml" ds:itemID="{3BA4D633-DB38-4FDE-AA22-6BD5F0A4919A}"/>
</file>

<file path=customXml/itemProps3.xml><?xml version="1.0" encoding="utf-8"?>
<ds:datastoreItem xmlns:ds="http://schemas.openxmlformats.org/officeDocument/2006/customXml" ds:itemID="{C494F669-6775-417B-BF58-97FF31AE4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5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Almanza Prieto</dc:creator>
  <cp:keywords/>
  <dc:description/>
  <cp:lastModifiedBy>Ivan Jose Bernal Anaya</cp:lastModifiedBy>
  <cp:revision>4</cp:revision>
  <dcterms:created xsi:type="dcterms:W3CDTF">2019-09-23T17:24:00Z</dcterms:created>
  <dcterms:modified xsi:type="dcterms:W3CDTF">2019-09-24T15:28:00Z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0x01010094BAFE52DC0F0E4D842EABD4A218E42E</vt:lpwstr>
  </property>
</Properties>
</file>