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AA6B477" w14:textId="77777777" w:rsidR="0054065F" w:rsidRDefault="0054065F">
      <w:pPr>
        <w:tabs>
          <w:tab w:val="left" w:pos="9900"/>
        </w:tabs>
        <w:ind w:right="-23"/>
        <w:jc w:val="center"/>
        <w:rPr>
          <w:rFonts w:ascii="Arial" w:eastAsia="Arial" w:hAnsi="Arial"/>
          <w:b/>
          <w:sz w:val="22"/>
        </w:rPr>
      </w:pPr>
      <w:bookmarkStart w:id="0" w:name="_GoBack"/>
      <w:bookmarkEnd w:id="0"/>
    </w:p>
    <w:p w14:paraId="383968FC" w14:textId="25F99EDB" w:rsidR="00B83802" w:rsidRDefault="00451A31">
      <w:pPr>
        <w:tabs>
          <w:tab w:val="left" w:pos="9900"/>
        </w:tabs>
        <w:ind w:right="-23"/>
        <w:jc w:val="center"/>
        <w:rPr>
          <w:rFonts w:ascii="Arial" w:eastAsia="Arial" w:hAnsi="Arial"/>
          <w:b/>
          <w:color w:val="FF0000"/>
          <w:sz w:val="22"/>
        </w:rPr>
      </w:pPr>
      <w:r>
        <w:rPr>
          <w:rFonts w:ascii="Arial" w:eastAsia="Arial" w:hAnsi="Arial"/>
          <w:b/>
          <w:sz w:val="22"/>
        </w:rPr>
        <w:t xml:space="preserve">EL </w:t>
      </w:r>
      <w:r w:rsidR="00CC5BCF" w:rsidRPr="00557778">
        <w:rPr>
          <w:rFonts w:ascii="Arial" w:eastAsia="Arial" w:hAnsi="Arial"/>
          <w:b/>
          <w:sz w:val="22"/>
        </w:rPr>
        <w:t>VICEPRESIDENTE DE OPERACIONES, REGALÍAS Y PARTICIPACIONES</w:t>
      </w:r>
      <w:r w:rsidR="00781212" w:rsidRPr="00557778">
        <w:rPr>
          <w:rFonts w:ascii="Arial" w:eastAsia="Arial" w:hAnsi="Arial"/>
          <w:b/>
          <w:sz w:val="22"/>
        </w:rPr>
        <w:t>- VORP</w:t>
      </w:r>
    </w:p>
    <w:p w14:paraId="0D7D5F3F" w14:textId="40C5D40C" w:rsidR="00B83802" w:rsidRDefault="00451A31">
      <w:pPr>
        <w:tabs>
          <w:tab w:val="left" w:pos="9900"/>
        </w:tabs>
        <w:ind w:right="-23"/>
        <w:jc w:val="center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DE LA AGENCIA NACIONAL DE HIDROCARBUROS -ANH</w:t>
      </w:r>
    </w:p>
    <w:p w14:paraId="1DBBA33E" w14:textId="77777777" w:rsidR="00B83802" w:rsidRDefault="00B83802">
      <w:pPr>
        <w:ind w:right="-23"/>
        <w:jc w:val="both"/>
        <w:rPr>
          <w:rFonts w:ascii="Arial" w:eastAsia="Arial" w:hAnsi="Arial"/>
          <w:sz w:val="22"/>
          <w:lang w:val="es-ES_tradnl"/>
        </w:rPr>
      </w:pPr>
    </w:p>
    <w:p w14:paraId="42725392" w14:textId="77777777" w:rsidR="00B83802" w:rsidRDefault="00B83802">
      <w:pPr>
        <w:ind w:right="-23"/>
        <w:jc w:val="both"/>
        <w:rPr>
          <w:rFonts w:ascii="Arial" w:eastAsia="Arial" w:hAnsi="Arial"/>
          <w:sz w:val="22"/>
          <w:lang w:val="es-ES_tradnl"/>
        </w:rPr>
      </w:pPr>
    </w:p>
    <w:p w14:paraId="3FE2BA9B" w14:textId="20E8D804" w:rsidR="007D13AA" w:rsidRDefault="007D13AA" w:rsidP="007D13AA">
      <w:pPr>
        <w:tabs>
          <w:tab w:val="left" w:pos="3060"/>
        </w:tabs>
        <w:ind w:right="-23"/>
        <w:jc w:val="center"/>
        <w:rPr>
          <w:rFonts w:ascii="Arial" w:hAnsi="Arial"/>
          <w:sz w:val="22"/>
        </w:rPr>
      </w:pPr>
      <w:r w:rsidRPr="004232C7">
        <w:rPr>
          <w:rFonts w:ascii="Arial" w:eastAsia="Arial" w:hAnsi="Arial"/>
          <w:sz w:val="22"/>
        </w:rPr>
        <w:t xml:space="preserve">En uso de sus facultades legales, en especial las conferidas </w:t>
      </w:r>
      <w:r>
        <w:rPr>
          <w:rFonts w:ascii="Arial" w:eastAsia="Arial" w:hAnsi="Arial"/>
          <w:sz w:val="22"/>
        </w:rPr>
        <w:t>por la Ley 2056 de 2020, y</w:t>
      </w:r>
      <w:r w:rsidRPr="004232C7">
        <w:rPr>
          <w:rFonts w:ascii="Arial" w:eastAsia="Arial" w:hAnsi="Arial"/>
          <w:sz w:val="22"/>
        </w:rPr>
        <w:t xml:space="preserve"> las Resolucione</w:t>
      </w:r>
      <w:r>
        <w:rPr>
          <w:rFonts w:ascii="Arial" w:eastAsia="Arial" w:hAnsi="Arial"/>
          <w:sz w:val="22"/>
        </w:rPr>
        <w:t>s</w:t>
      </w:r>
      <w:r w:rsidRPr="004232C7">
        <w:rPr>
          <w:rFonts w:ascii="Arial" w:eastAsia="Arial" w:hAnsi="Arial"/>
          <w:sz w:val="22"/>
        </w:rPr>
        <w:t xml:space="preserve"> </w:t>
      </w:r>
      <w:r>
        <w:rPr>
          <w:rFonts w:ascii="Arial" w:eastAsia="Arial" w:hAnsi="Arial"/>
          <w:sz w:val="22"/>
        </w:rPr>
        <w:t>40066 d</w:t>
      </w:r>
      <w:r w:rsidRPr="004232C7">
        <w:rPr>
          <w:rFonts w:ascii="Arial" w:eastAsia="Arial" w:hAnsi="Arial"/>
          <w:sz w:val="22"/>
        </w:rPr>
        <w:t>e 20</w:t>
      </w:r>
      <w:r>
        <w:rPr>
          <w:rFonts w:ascii="Arial" w:eastAsia="Arial" w:hAnsi="Arial"/>
          <w:sz w:val="22"/>
        </w:rPr>
        <w:t>22, 0137 de 2023</w:t>
      </w:r>
      <w:r w:rsidR="0054217F">
        <w:rPr>
          <w:rFonts w:ascii="Arial" w:eastAsia="Arial" w:hAnsi="Arial"/>
          <w:sz w:val="22"/>
        </w:rPr>
        <w:t>, 40317 de 2023</w:t>
      </w:r>
      <w:r>
        <w:rPr>
          <w:rFonts w:ascii="Arial" w:eastAsia="Arial" w:hAnsi="Arial"/>
          <w:sz w:val="22"/>
        </w:rPr>
        <w:t xml:space="preserve"> y</w:t>
      </w:r>
      <w:r w:rsidR="0054217F">
        <w:rPr>
          <w:rFonts w:ascii="Arial" w:eastAsia="Arial" w:hAnsi="Arial"/>
          <w:sz w:val="22"/>
        </w:rPr>
        <w:t>,</w:t>
      </w:r>
    </w:p>
    <w:p w14:paraId="4C701754" w14:textId="71209A4F" w:rsidR="00B83802" w:rsidRDefault="00451A31" w:rsidP="00781212">
      <w:pPr>
        <w:ind w:right="51"/>
        <w:jc w:val="center"/>
        <w:rPr>
          <w:rFonts w:ascii="Arial" w:eastAsia="Arial" w:hAnsi="Arial"/>
          <w:sz w:val="22"/>
          <w:lang w:val="es-ES_tradnl"/>
        </w:rPr>
      </w:pPr>
      <w:r>
        <w:rPr>
          <w:rFonts w:ascii="Arial" w:eastAsia="Arial" w:hAnsi="Arial"/>
          <w:sz w:val="22"/>
          <w:lang w:val="es-ES_tradnl"/>
        </w:rPr>
        <w:tab/>
      </w:r>
    </w:p>
    <w:p w14:paraId="19F0E815" w14:textId="77777777" w:rsidR="00781212" w:rsidRDefault="00781212" w:rsidP="00781212">
      <w:pPr>
        <w:ind w:right="51"/>
        <w:jc w:val="center"/>
        <w:rPr>
          <w:rFonts w:ascii="Arial" w:eastAsia="Arial" w:hAnsi="Arial"/>
          <w:sz w:val="22"/>
          <w:lang w:val="es-ES_tradnl"/>
        </w:rPr>
      </w:pPr>
    </w:p>
    <w:p w14:paraId="033BD241" w14:textId="77777777" w:rsidR="00B83802" w:rsidRDefault="00451A31">
      <w:pPr>
        <w:ind w:right="-23"/>
        <w:jc w:val="center"/>
        <w:rPr>
          <w:rFonts w:ascii="Arial" w:eastAsia="Arial" w:hAnsi="Arial"/>
          <w:sz w:val="22"/>
          <w:lang w:val="es-ES_tradnl"/>
        </w:rPr>
      </w:pPr>
      <w:r>
        <w:rPr>
          <w:rFonts w:ascii="Arial" w:eastAsia="Arial" w:hAnsi="Arial"/>
          <w:b/>
          <w:sz w:val="22"/>
          <w:lang w:val="es-ES_tradnl"/>
        </w:rPr>
        <w:t>C O N S I D E R A N D O:</w:t>
      </w:r>
    </w:p>
    <w:p w14:paraId="28FDA7D6" w14:textId="77777777" w:rsidR="00B83802" w:rsidRDefault="00B83802">
      <w:pPr>
        <w:ind w:right="-23"/>
        <w:jc w:val="both"/>
        <w:rPr>
          <w:rFonts w:ascii="Arial" w:eastAsia="Arial" w:hAnsi="Arial"/>
          <w:sz w:val="22"/>
          <w:lang w:val="es-ES_tradnl"/>
        </w:rPr>
      </w:pPr>
    </w:p>
    <w:p w14:paraId="45741BF2" w14:textId="77777777" w:rsidR="005A187C" w:rsidRDefault="005A187C" w:rsidP="005A187C">
      <w:pPr>
        <w:jc w:val="both"/>
        <w:rPr>
          <w:rFonts w:ascii="Arial" w:hAnsi="Arial" w:cs="Arial"/>
          <w:bCs/>
          <w:sz w:val="22"/>
          <w:szCs w:val="22"/>
        </w:rPr>
      </w:pPr>
      <w:r w:rsidRPr="0023634F">
        <w:rPr>
          <w:rFonts w:ascii="Arial" w:hAnsi="Arial" w:cs="Arial"/>
          <w:bCs/>
          <w:sz w:val="22"/>
          <w:szCs w:val="22"/>
        </w:rPr>
        <w:t>Que de conformidad con el artículo 332 de la Constitución Política: “El Estado es propietario del subsuelo y de los recursos naturales no renovables, sin perjuicio de los derechos adquiridos y perfeccionados con arreglo a las leyes preexistentes”.</w:t>
      </w:r>
    </w:p>
    <w:p w14:paraId="7331CFC4" w14:textId="77777777" w:rsidR="005A187C" w:rsidRPr="00557778" w:rsidRDefault="005A187C" w:rsidP="0054065F">
      <w:pPr>
        <w:ind w:right="-23"/>
        <w:jc w:val="both"/>
        <w:rPr>
          <w:rFonts w:ascii="Arial" w:eastAsia="Arial" w:hAnsi="Arial"/>
          <w:sz w:val="22"/>
        </w:rPr>
      </w:pPr>
    </w:p>
    <w:p w14:paraId="317996E5" w14:textId="77777777" w:rsidR="005A187C" w:rsidRPr="00007899" w:rsidRDefault="005A187C" w:rsidP="005A187C">
      <w:pPr>
        <w:autoSpaceDE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007899">
        <w:rPr>
          <w:rFonts w:ascii="Arial" w:eastAsia="Calibri" w:hAnsi="Arial" w:cs="Arial"/>
          <w:sz w:val="22"/>
          <w:szCs w:val="22"/>
        </w:rPr>
        <w:t xml:space="preserve">Que el Decreto - Ley 4137 del 03 de noviembre de 2011, </w:t>
      </w:r>
      <w:r w:rsidRPr="00007899">
        <w:rPr>
          <w:rFonts w:ascii="Arial" w:eastAsia="Calibri" w:hAnsi="Arial" w:cs="Arial"/>
          <w:i/>
          <w:sz w:val="22"/>
          <w:szCs w:val="22"/>
        </w:rPr>
        <w:t xml:space="preserve">“Por el cual se cambia la naturaleza jurídica de la Agencia Nacional de Hidrocarburos, ANH”, </w:t>
      </w:r>
      <w:r w:rsidRPr="00007899">
        <w:rPr>
          <w:rFonts w:ascii="Arial" w:eastAsia="Calibri" w:hAnsi="Arial" w:cs="Arial"/>
          <w:iCs/>
          <w:sz w:val="22"/>
          <w:szCs w:val="22"/>
        </w:rPr>
        <w:t>dispuso en el numeral 17 del artículo 4, subrogado por el artículo 3 del Decreto 714 del 10 de abril de 2012</w:t>
      </w:r>
      <w:r w:rsidRPr="00007899">
        <w:rPr>
          <w:rFonts w:ascii="Arial" w:eastAsia="Calibri" w:hAnsi="Arial" w:cs="Arial"/>
          <w:i/>
          <w:sz w:val="22"/>
          <w:szCs w:val="22"/>
        </w:rPr>
        <w:t xml:space="preserve">, “Por el cual se establece la estructura de la Agencia Nacional de Hidrocarburos, ANH y se dictan otras disposiciones”, </w:t>
      </w:r>
      <w:r w:rsidRPr="00007899">
        <w:rPr>
          <w:rFonts w:ascii="Arial" w:eastAsia="Calibri" w:hAnsi="Arial" w:cs="Arial"/>
          <w:iCs/>
          <w:sz w:val="22"/>
          <w:szCs w:val="22"/>
        </w:rPr>
        <w:t>que corresponde a esta Entidad</w:t>
      </w:r>
      <w:r w:rsidRPr="00007899">
        <w:rPr>
          <w:rFonts w:ascii="Arial" w:eastAsia="Calibri" w:hAnsi="Arial" w:cs="Arial"/>
          <w:i/>
          <w:sz w:val="22"/>
          <w:szCs w:val="22"/>
        </w:rPr>
        <w:t xml:space="preserve"> “Hacer seguimiento al cumplimiento de las normas técnicas relacionadas con la exploración y explotación de hidrocarburos dirigidas al aprovechamiento de los recursos de manera racional e integral”.</w:t>
      </w:r>
      <w:r w:rsidRPr="00007899">
        <w:rPr>
          <w:rFonts w:ascii="Arial" w:eastAsia="Calibri" w:hAnsi="Arial" w:cs="Arial"/>
          <w:sz w:val="22"/>
          <w:szCs w:val="22"/>
        </w:rPr>
        <w:t xml:space="preserve"> </w:t>
      </w:r>
    </w:p>
    <w:p w14:paraId="27828C5B" w14:textId="77777777" w:rsidR="0054065F" w:rsidRDefault="0054065F" w:rsidP="0054065F">
      <w:pPr>
        <w:ind w:right="-23"/>
        <w:jc w:val="both"/>
        <w:rPr>
          <w:rFonts w:ascii="Arial" w:eastAsia="Arial" w:hAnsi="Arial"/>
          <w:sz w:val="22"/>
          <w:lang w:val="es-ES_tradnl"/>
        </w:rPr>
      </w:pPr>
    </w:p>
    <w:p w14:paraId="43467636" w14:textId="0247015C" w:rsidR="0054065F" w:rsidRPr="00557778" w:rsidRDefault="0054065F" w:rsidP="0054065F">
      <w:pPr>
        <w:ind w:right="-23"/>
        <w:jc w:val="both"/>
        <w:rPr>
          <w:rFonts w:ascii="Arial" w:eastAsia="Arial" w:hAnsi="Arial"/>
          <w:i/>
          <w:iCs/>
          <w:sz w:val="22"/>
          <w:lang w:val="es-ES_tradnl"/>
        </w:rPr>
      </w:pPr>
      <w:r w:rsidRPr="0054065F">
        <w:rPr>
          <w:rFonts w:ascii="Arial" w:eastAsia="Arial" w:hAnsi="Arial"/>
          <w:sz w:val="22"/>
          <w:lang w:val="es-ES_tradnl"/>
        </w:rPr>
        <w:t xml:space="preserve">Que Ley 2056 de 2020 </w:t>
      </w:r>
      <w:r w:rsidRPr="00557778">
        <w:rPr>
          <w:rFonts w:ascii="Arial" w:eastAsia="Arial" w:hAnsi="Arial"/>
          <w:i/>
          <w:iCs/>
          <w:sz w:val="22"/>
          <w:lang w:val="es-ES_tradnl"/>
        </w:rPr>
        <w:t xml:space="preserve">"Por la cual se regula la organización y el funcionamiento del sistema general de regalías" </w:t>
      </w:r>
      <w:r w:rsidRPr="0054065F">
        <w:rPr>
          <w:rFonts w:ascii="Arial" w:eastAsia="Arial" w:hAnsi="Arial"/>
          <w:sz w:val="22"/>
          <w:lang w:val="es-ES_tradnl"/>
        </w:rPr>
        <w:t xml:space="preserve">en su artículo 7 </w:t>
      </w:r>
      <w:r w:rsidRPr="00557778">
        <w:rPr>
          <w:rFonts w:ascii="Arial" w:eastAsia="Arial" w:hAnsi="Arial"/>
          <w:i/>
          <w:iCs/>
          <w:sz w:val="22"/>
          <w:lang w:val="es-ES_tradnl"/>
        </w:rPr>
        <w:t>"Funciones del Ministerio de Minas y Energía y de sus entidades adscritas y vinculadas"</w:t>
      </w:r>
      <w:r w:rsidRPr="0054065F">
        <w:rPr>
          <w:rFonts w:ascii="Arial" w:eastAsia="Arial" w:hAnsi="Arial"/>
          <w:sz w:val="22"/>
          <w:lang w:val="es-ES_tradnl"/>
        </w:rPr>
        <w:t xml:space="preserve"> define en el numeral 2 que: </w:t>
      </w:r>
      <w:r w:rsidRPr="00557778">
        <w:rPr>
          <w:rFonts w:ascii="Arial" w:eastAsia="Arial" w:hAnsi="Arial"/>
          <w:i/>
          <w:iCs/>
          <w:sz w:val="22"/>
          <w:lang w:val="es-ES_tradnl"/>
        </w:rPr>
        <w:t>"La Agencia Nacional de Hidrocarburos o quien haga sus veces, además de las funciones establecidas en la ley, ejercerá las siguientes funciones relacionadas con la fiscalización de la exploración y explotación de los yacimientos hidrocarburíferos: ejercerá el seguimiento y control de los contratos y convenios; verificará la medición y monitoreo a los volúmenes de producción y verificará el correcto desmantelamiento, taponamiento y abandono de pozos y facilidades."</w:t>
      </w:r>
    </w:p>
    <w:p w14:paraId="6DE81912" w14:textId="77777777" w:rsidR="0054065F" w:rsidRDefault="0054065F" w:rsidP="0054065F">
      <w:pPr>
        <w:ind w:right="-23"/>
        <w:jc w:val="both"/>
        <w:rPr>
          <w:rFonts w:ascii="Arial" w:eastAsia="Arial" w:hAnsi="Arial"/>
          <w:sz w:val="22"/>
          <w:lang w:val="es-ES_tradnl"/>
        </w:rPr>
      </w:pPr>
    </w:p>
    <w:p w14:paraId="1559EFF7" w14:textId="5479F7D6" w:rsidR="00F0257D" w:rsidRDefault="0054065F" w:rsidP="0054065F">
      <w:pPr>
        <w:ind w:right="-23"/>
        <w:jc w:val="both"/>
        <w:rPr>
          <w:rFonts w:ascii="Arial" w:eastAsia="Arial" w:hAnsi="Arial"/>
          <w:sz w:val="22"/>
          <w:lang w:val="es-ES_tradnl"/>
        </w:rPr>
      </w:pPr>
      <w:r w:rsidRPr="0054065F">
        <w:rPr>
          <w:rFonts w:ascii="Arial" w:eastAsia="Arial" w:hAnsi="Arial"/>
          <w:sz w:val="22"/>
          <w:lang w:val="es-ES_tradnl"/>
        </w:rPr>
        <w:t xml:space="preserve">Que el artículo 17 </w:t>
      </w:r>
      <w:r w:rsidR="00F0257D">
        <w:rPr>
          <w:rFonts w:ascii="Arial" w:eastAsia="Arial" w:hAnsi="Arial"/>
          <w:sz w:val="22"/>
          <w:lang w:val="es-ES_tradnl"/>
        </w:rPr>
        <w:t>de la Ley 2</w:t>
      </w:r>
      <w:r w:rsidR="004114AF">
        <w:rPr>
          <w:rFonts w:ascii="Arial" w:eastAsia="Arial" w:hAnsi="Arial"/>
          <w:sz w:val="22"/>
          <w:lang w:val="es-ES_tradnl"/>
        </w:rPr>
        <w:t>0</w:t>
      </w:r>
      <w:r w:rsidR="00F0257D">
        <w:rPr>
          <w:rFonts w:ascii="Arial" w:eastAsia="Arial" w:hAnsi="Arial"/>
          <w:sz w:val="22"/>
          <w:lang w:val="es-ES_tradnl"/>
        </w:rPr>
        <w:t>56 de 202</w:t>
      </w:r>
      <w:r w:rsidR="004114AF">
        <w:rPr>
          <w:rFonts w:ascii="Arial" w:eastAsia="Arial" w:hAnsi="Arial"/>
          <w:sz w:val="22"/>
          <w:lang w:val="es-ES_tradnl"/>
        </w:rPr>
        <w:t>0</w:t>
      </w:r>
      <w:r w:rsidR="00F0257D">
        <w:rPr>
          <w:rFonts w:ascii="Arial" w:eastAsia="Arial" w:hAnsi="Arial"/>
          <w:sz w:val="22"/>
          <w:lang w:val="es-ES_tradnl"/>
        </w:rPr>
        <w:t>, establece</w:t>
      </w:r>
      <w:r w:rsidRPr="0054065F">
        <w:rPr>
          <w:rFonts w:ascii="Arial" w:eastAsia="Arial" w:hAnsi="Arial"/>
          <w:sz w:val="22"/>
          <w:lang w:val="es-ES_tradnl"/>
        </w:rPr>
        <w:t xml:space="preserve"> que:</w:t>
      </w:r>
    </w:p>
    <w:p w14:paraId="57720405" w14:textId="77777777" w:rsidR="00F0257D" w:rsidRDefault="00F0257D" w:rsidP="0054065F">
      <w:pPr>
        <w:ind w:right="-23"/>
        <w:jc w:val="both"/>
        <w:rPr>
          <w:rFonts w:ascii="Arial" w:eastAsia="Arial" w:hAnsi="Arial"/>
          <w:sz w:val="22"/>
          <w:lang w:val="es-ES_tradnl"/>
        </w:rPr>
      </w:pPr>
    </w:p>
    <w:p w14:paraId="261C7445" w14:textId="6625A12F" w:rsidR="0054065F" w:rsidRPr="00557778" w:rsidRDefault="0054065F" w:rsidP="0054065F">
      <w:pPr>
        <w:ind w:right="-23"/>
        <w:jc w:val="both"/>
        <w:rPr>
          <w:rFonts w:ascii="Arial" w:eastAsia="Arial" w:hAnsi="Arial"/>
          <w:i/>
          <w:iCs/>
          <w:sz w:val="20"/>
          <w:lang w:val="es-ES_tradnl"/>
        </w:rPr>
      </w:pPr>
      <w:r w:rsidRPr="00557778">
        <w:rPr>
          <w:rFonts w:ascii="Arial" w:eastAsia="Arial" w:hAnsi="Arial"/>
          <w:i/>
          <w:iCs/>
          <w:sz w:val="20"/>
          <w:lang w:val="es-ES_tradnl"/>
        </w:rPr>
        <w:t>"( ... ) La fiscalización de la exploración y explotación de recursos naturales no renovables, deberá estar orientada al cumplimiento de las normas y de las obligaciones derivadas de los contratos y convenios, títulos mineros y demás figuras que por mandato legal permiten la exploración y explotación de recursos naturales no renovables, incluidas las etapas de desmantelamiento, taponamientos, abandono y en general de cierres de operaciones tanto mineras como de hidrocarburos, según corresponda; igualmente incluye la determinación y verificación efectiva de los volúmenes de producción, la aplicación de buenas prácticas de exploración, explotación y producción, el cumplimiento de las normas de seguridad en labores mineras y de hidrocarburos</w:t>
      </w:r>
      <w:r w:rsidR="00F0257D" w:rsidRPr="00557778">
        <w:rPr>
          <w:rFonts w:ascii="Arial" w:eastAsia="Arial" w:hAnsi="Arial"/>
          <w:i/>
          <w:iCs/>
          <w:sz w:val="20"/>
          <w:lang w:val="es-ES_tradnl"/>
        </w:rPr>
        <w:t>…”</w:t>
      </w:r>
    </w:p>
    <w:p w14:paraId="6A18A3E1" w14:textId="4E53DDEE" w:rsidR="0054065F" w:rsidRDefault="0054065F" w:rsidP="0054065F">
      <w:pPr>
        <w:ind w:right="-23"/>
        <w:jc w:val="both"/>
        <w:rPr>
          <w:rFonts w:ascii="Arial" w:eastAsia="Arial" w:hAnsi="Arial"/>
          <w:sz w:val="22"/>
          <w:lang w:val="es-ES_tradnl"/>
        </w:rPr>
      </w:pPr>
    </w:p>
    <w:p w14:paraId="0275E295" w14:textId="0AF29EB1" w:rsidR="0054065F" w:rsidRPr="00557778" w:rsidRDefault="0054065F" w:rsidP="0054065F">
      <w:pPr>
        <w:ind w:right="-23"/>
        <w:jc w:val="both"/>
        <w:rPr>
          <w:rFonts w:ascii="Arial" w:eastAsia="Arial" w:hAnsi="Arial"/>
          <w:i/>
          <w:iCs/>
          <w:sz w:val="22"/>
          <w:lang w:val="es-ES_tradnl"/>
        </w:rPr>
      </w:pPr>
      <w:r w:rsidRPr="0054065F">
        <w:rPr>
          <w:rFonts w:ascii="Arial" w:eastAsia="Arial" w:hAnsi="Arial"/>
          <w:sz w:val="22"/>
          <w:lang w:val="es-ES_tradnl"/>
        </w:rPr>
        <w:t xml:space="preserve">Que el Ministerio de Minas y Energía </w:t>
      </w:r>
      <w:r w:rsidR="008C6BAD">
        <w:rPr>
          <w:rFonts w:ascii="Arial" w:eastAsia="Arial" w:hAnsi="Arial"/>
          <w:sz w:val="22"/>
          <w:lang w:val="es-ES_tradnl"/>
        </w:rPr>
        <w:t>en</w:t>
      </w:r>
      <w:r w:rsidR="008C6BAD" w:rsidRPr="0054065F">
        <w:rPr>
          <w:rFonts w:ascii="Arial" w:eastAsia="Arial" w:hAnsi="Arial"/>
          <w:sz w:val="22"/>
          <w:lang w:val="es-ES_tradnl"/>
        </w:rPr>
        <w:t xml:space="preserve"> </w:t>
      </w:r>
      <w:r w:rsidR="006A6D2E">
        <w:rPr>
          <w:rFonts w:ascii="Arial" w:eastAsia="Arial" w:hAnsi="Arial"/>
          <w:sz w:val="22"/>
          <w:lang w:val="es-ES_tradnl"/>
        </w:rPr>
        <w:t xml:space="preserve">la </w:t>
      </w:r>
      <w:r w:rsidRPr="0054065F">
        <w:rPr>
          <w:rFonts w:ascii="Arial" w:eastAsia="Arial" w:hAnsi="Arial"/>
          <w:sz w:val="22"/>
          <w:lang w:val="es-ES_tradnl"/>
        </w:rPr>
        <w:t xml:space="preserve">Resolución 40066 de 2022, </w:t>
      </w:r>
      <w:r w:rsidRPr="00557778">
        <w:rPr>
          <w:rFonts w:ascii="Arial" w:eastAsia="Arial" w:hAnsi="Arial"/>
          <w:i/>
          <w:iCs/>
          <w:sz w:val="22"/>
          <w:lang w:val="es-ES_tradnl"/>
        </w:rPr>
        <w:t>"Por la cual se establecen requerimientos técnicos para la detección y reparación de fugas, el aprovechamiento, quema y venteo de gas natural durante las actividades de exploración y explotación de hidrocarburos"</w:t>
      </w:r>
      <w:r w:rsidR="00FA7C57">
        <w:rPr>
          <w:rFonts w:ascii="Arial" w:eastAsia="Arial" w:hAnsi="Arial"/>
          <w:i/>
          <w:iCs/>
          <w:sz w:val="22"/>
          <w:lang w:val="es-ES_tradnl"/>
        </w:rPr>
        <w:t xml:space="preserve">, modificada por la Resolución 40317 de 2023, </w:t>
      </w:r>
      <w:r w:rsidR="00FA7C57">
        <w:rPr>
          <w:rFonts w:ascii="Arial" w:eastAsia="Arial" w:hAnsi="Arial"/>
          <w:sz w:val="22"/>
          <w:lang w:val="es-ES_tradnl"/>
        </w:rPr>
        <w:t>“Por la cual se modifica la Resolución 40066 de 11 de febrero de 2022, mediante la cual se establecen requerimientos técnicos para la det</w:t>
      </w:r>
      <w:r w:rsidR="00FA7C57">
        <w:rPr>
          <w:rFonts w:ascii="Arial" w:eastAsia="Arial" w:hAnsi="Arial"/>
          <w:i/>
          <w:iCs/>
          <w:sz w:val="22"/>
          <w:lang w:val="es-ES_tradnl"/>
        </w:rPr>
        <w:t>e</w:t>
      </w:r>
      <w:r w:rsidR="00F43847">
        <w:rPr>
          <w:rFonts w:ascii="Arial" w:eastAsia="Arial" w:hAnsi="Arial"/>
          <w:i/>
          <w:iCs/>
          <w:sz w:val="22"/>
          <w:lang w:val="es-ES_tradnl"/>
        </w:rPr>
        <w:t>cción y reparación de fugas, el aprovechamiento, quema y venteo de gas natural durante las actividades de exploración y explotación de hidrocarburos”,</w:t>
      </w:r>
      <w:r w:rsidRPr="0054065F">
        <w:rPr>
          <w:rFonts w:ascii="Arial" w:eastAsia="Arial" w:hAnsi="Arial"/>
          <w:sz w:val="22"/>
          <w:lang w:val="es-ES_tradnl"/>
        </w:rPr>
        <w:t xml:space="preserve">n </w:t>
      </w:r>
      <w:r w:rsidR="00FA7C57">
        <w:rPr>
          <w:rFonts w:ascii="Arial" w:eastAsia="Arial" w:hAnsi="Arial"/>
          <w:sz w:val="22"/>
          <w:lang w:val="es-ES_tradnl"/>
        </w:rPr>
        <w:t>el</w:t>
      </w:r>
      <w:r w:rsidR="00FA7C57" w:rsidRPr="0054065F">
        <w:rPr>
          <w:rFonts w:ascii="Arial" w:eastAsia="Arial" w:hAnsi="Arial"/>
          <w:sz w:val="22"/>
          <w:lang w:val="es-ES_tradnl"/>
        </w:rPr>
        <w:t xml:space="preserve"> </w:t>
      </w:r>
      <w:r w:rsidRPr="0054065F">
        <w:rPr>
          <w:rFonts w:ascii="Arial" w:eastAsia="Arial" w:hAnsi="Arial"/>
          <w:sz w:val="22"/>
          <w:lang w:val="es-ES_tradnl"/>
        </w:rPr>
        <w:t xml:space="preserve">artículo 83, numeral 3. </w:t>
      </w:r>
      <w:r w:rsidR="00FA7C57">
        <w:rPr>
          <w:rFonts w:ascii="Arial" w:eastAsia="Arial" w:hAnsi="Arial"/>
          <w:sz w:val="22"/>
          <w:lang w:val="es-ES_tradnl"/>
        </w:rPr>
        <w:t>o</w:t>
      </w:r>
      <w:r w:rsidRPr="0054065F">
        <w:rPr>
          <w:rFonts w:ascii="Arial" w:eastAsia="Arial" w:hAnsi="Arial"/>
          <w:sz w:val="22"/>
          <w:lang w:val="es-ES_tradnl"/>
        </w:rPr>
        <w:t xml:space="preserve">rdenó que </w:t>
      </w:r>
      <w:r w:rsidRPr="00557778">
        <w:rPr>
          <w:rFonts w:ascii="Arial" w:eastAsia="Arial" w:hAnsi="Arial"/>
          <w:i/>
          <w:iCs/>
          <w:sz w:val="22"/>
          <w:lang w:val="es-ES_tradnl"/>
        </w:rPr>
        <w:t>"Con el fin de lograr el adecuado seguimiento y supervisión del cumplimiento de esta regulación, la Entidad de Fiscalización, en un plazo de 6 meses, deberá publicar las reglas para la entrega y reporte del Programa de Detección y Reparación de fugas de Gas Natural, que deberán cumplir los operadores. Dichas reglas incluirán al menos los datos, medios y plazos para la entrega de información de fugas de Gas Natural".</w:t>
      </w:r>
    </w:p>
    <w:p w14:paraId="55D667A7" w14:textId="27E7058F" w:rsidR="00B57745" w:rsidRPr="00B57745" w:rsidRDefault="00B57745" w:rsidP="00B577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0" w:beforeAutospacing="1" w:after="240"/>
        <w:jc w:val="both"/>
        <w:rPr>
          <w:rFonts w:ascii="Arial" w:hAnsi="Arial" w:cs="Arial"/>
          <w:sz w:val="22"/>
          <w:szCs w:val="22"/>
          <w:lang w:val="es-MX" w:eastAsia="es-MX"/>
        </w:rPr>
      </w:pPr>
      <w:r w:rsidRPr="00B57745">
        <w:rPr>
          <w:rFonts w:ascii="Arial" w:hAnsi="Arial" w:cs="Arial"/>
          <w:sz w:val="22"/>
          <w:szCs w:val="22"/>
          <w:lang w:val="es-MX" w:eastAsia="es-MX"/>
        </w:rPr>
        <w:t xml:space="preserve">Que en virtud de la expedición </w:t>
      </w:r>
      <w:r w:rsidR="0074718C">
        <w:rPr>
          <w:rFonts w:ascii="Arial" w:hAnsi="Arial" w:cs="Arial"/>
          <w:sz w:val="22"/>
          <w:szCs w:val="22"/>
          <w:lang w:val="es-MX" w:eastAsia="es-MX"/>
        </w:rPr>
        <w:t>por parte de la A</w:t>
      </w:r>
      <w:r w:rsidR="00526E90">
        <w:rPr>
          <w:rFonts w:ascii="Arial" w:hAnsi="Arial" w:cs="Arial"/>
          <w:sz w:val="22"/>
          <w:szCs w:val="22"/>
          <w:lang w:val="es-MX" w:eastAsia="es-MX"/>
        </w:rPr>
        <w:t>gencia Nacional Hidrocarburos- ANH,</w:t>
      </w:r>
      <w:r w:rsidR="0074718C">
        <w:rPr>
          <w:rFonts w:ascii="Arial" w:hAnsi="Arial" w:cs="Arial"/>
          <w:sz w:val="22"/>
          <w:szCs w:val="22"/>
          <w:lang w:val="es-MX" w:eastAsia="es-MX"/>
        </w:rPr>
        <w:t xml:space="preserve"> </w:t>
      </w:r>
      <w:r w:rsidRPr="00B57745">
        <w:rPr>
          <w:rFonts w:ascii="Arial" w:hAnsi="Arial" w:cs="Arial"/>
          <w:sz w:val="22"/>
          <w:szCs w:val="22"/>
          <w:lang w:val="es-MX" w:eastAsia="es-MX"/>
        </w:rPr>
        <w:t xml:space="preserve">de la Resolución 0137 del 17 de febrero de 2023, </w:t>
      </w:r>
      <w:r w:rsidRPr="00B57745">
        <w:rPr>
          <w:rFonts w:ascii="Arial" w:hAnsi="Arial" w:cs="Arial"/>
          <w:i/>
          <w:iCs/>
          <w:sz w:val="22"/>
          <w:szCs w:val="22"/>
          <w:lang w:val="es-MX" w:eastAsia="es-MX"/>
        </w:rPr>
        <w:t>“Por la cual se asignan unas funciones y se adoptan otras disposiciones”</w:t>
      </w:r>
      <w:r w:rsidRPr="00B57745">
        <w:rPr>
          <w:rFonts w:ascii="Arial" w:hAnsi="Arial" w:cs="Arial"/>
          <w:sz w:val="22"/>
          <w:szCs w:val="22"/>
          <w:lang w:val="es-MX" w:eastAsia="es-MX"/>
        </w:rPr>
        <w:t>, quedaron derogadas las</w:t>
      </w:r>
      <w:r>
        <w:rPr>
          <w:rFonts w:ascii="Arial" w:hAnsi="Arial" w:cs="Arial"/>
          <w:sz w:val="22"/>
          <w:szCs w:val="22"/>
          <w:lang w:val="es-MX" w:eastAsia="es-MX"/>
        </w:rPr>
        <w:t xml:space="preserve"> </w:t>
      </w:r>
      <w:r w:rsidRPr="00B57745">
        <w:rPr>
          <w:rFonts w:ascii="Arial" w:hAnsi="Arial" w:cs="Arial"/>
          <w:sz w:val="22"/>
          <w:szCs w:val="22"/>
          <w:lang w:val="es-MX" w:eastAsia="es-MX"/>
        </w:rPr>
        <w:t xml:space="preserve">resoluciones 767 del 15 de julio de 2022, </w:t>
      </w:r>
      <w:r w:rsidRPr="00B57745">
        <w:rPr>
          <w:rFonts w:ascii="Arial" w:hAnsi="Arial" w:cs="Arial"/>
          <w:i/>
          <w:iCs/>
          <w:sz w:val="22"/>
          <w:szCs w:val="22"/>
          <w:lang w:val="es-MX" w:eastAsia="es-MX"/>
        </w:rPr>
        <w:t xml:space="preserve">“Por la </w:t>
      </w:r>
      <w:r w:rsidRPr="00B57745">
        <w:rPr>
          <w:rFonts w:ascii="Arial" w:hAnsi="Arial" w:cs="Arial"/>
          <w:i/>
          <w:iCs/>
          <w:sz w:val="22"/>
          <w:szCs w:val="22"/>
          <w:lang w:val="es-MX" w:eastAsia="es-MX"/>
        </w:rPr>
        <w:lastRenderedPageBreak/>
        <w:t>cual se asignan unas funciones y se adoptan otras disposiciones” </w:t>
      </w:r>
      <w:r w:rsidRPr="00B57745">
        <w:rPr>
          <w:rFonts w:ascii="Arial" w:hAnsi="Arial" w:cs="Arial"/>
          <w:sz w:val="22"/>
          <w:szCs w:val="22"/>
          <w:lang w:val="es-MX" w:eastAsia="es-MX"/>
        </w:rPr>
        <w:t>y</w:t>
      </w:r>
      <w:r w:rsidRPr="00B57745">
        <w:rPr>
          <w:rFonts w:ascii="Arial" w:hAnsi="Arial" w:cs="Arial"/>
          <w:i/>
          <w:iCs/>
          <w:sz w:val="22"/>
          <w:szCs w:val="22"/>
          <w:lang w:val="es-MX" w:eastAsia="es-MX"/>
        </w:rPr>
        <w:t> </w:t>
      </w:r>
      <w:r w:rsidRPr="00B57745">
        <w:rPr>
          <w:rFonts w:ascii="Arial" w:hAnsi="Arial" w:cs="Arial"/>
          <w:sz w:val="22"/>
          <w:szCs w:val="22"/>
          <w:lang w:val="es-MX" w:eastAsia="es-MX"/>
        </w:rPr>
        <w:t xml:space="preserve">1116 del 16 de septiembre de 2022, </w:t>
      </w:r>
      <w:r w:rsidRPr="00B57745">
        <w:rPr>
          <w:rFonts w:ascii="Arial" w:hAnsi="Arial" w:cs="Arial"/>
          <w:i/>
          <w:iCs/>
          <w:sz w:val="22"/>
          <w:szCs w:val="22"/>
          <w:lang w:val="es-MX" w:eastAsia="es-MX"/>
        </w:rPr>
        <w:t>“Por la cual se adicionan unas funciones a la Resolución 767 del 15 de julio de 2022”.</w:t>
      </w:r>
    </w:p>
    <w:p w14:paraId="5916CF3C" w14:textId="794000F3" w:rsidR="00B83802" w:rsidRPr="00557778" w:rsidRDefault="00B57745" w:rsidP="00B577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0" w:beforeAutospacing="1" w:after="100" w:afterAutospacing="1"/>
        <w:jc w:val="both"/>
        <w:rPr>
          <w:rFonts w:ascii="Arial" w:eastAsia="Arial" w:hAnsi="Arial"/>
          <w:sz w:val="22"/>
        </w:rPr>
      </w:pPr>
      <w:r w:rsidRPr="00B57745">
        <w:rPr>
          <w:rFonts w:ascii="Arial" w:hAnsi="Arial" w:cs="Arial"/>
          <w:sz w:val="22"/>
          <w:szCs w:val="22"/>
          <w:lang w:val="es-MX" w:eastAsia="es-MX"/>
        </w:rPr>
        <w:t xml:space="preserve">Que de conformidad a lo dispuesto </w:t>
      </w:r>
      <w:r w:rsidR="0074718C">
        <w:rPr>
          <w:rFonts w:ascii="Arial" w:hAnsi="Arial" w:cs="Arial"/>
          <w:sz w:val="22"/>
          <w:szCs w:val="22"/>
          <w:lang w:val="es-MX" w:eastAsia="es-MX"/>
        </w:rPr>
        <w:t xml:space="preserve">por la </w:t>
      </w:r>
      <w:r w:rsidR="00526E90">
        <w:rPr>
          <w:rFonts w:ascii="Arial" w:hAnsi="Arial" w:cs="Arial"/>
          <w:sz w:val="22"/>
          <w:szCs w:val="22"/>
          <w:lang w:val="es-MX" w:eastAsia="es-MX"/>
        </w:rPr>
        <w:t>Agencia Nacional Hidrocarburos- ANH,</w:t>
      </w:r>
      <w:r w:rsidR="0074718C">
        <w:rPr>
          <w:rFonts w:ascii="Arial" w:hAnsi="Arial" w:cs="Arial"/>
          <w:sz w:val="22"/>
          <w:szCs w:val="22"/>
          <w:lang w:val="es-MX" w:eastAsia="es-MX"/>
        </w:rPr>
        <w:t xml:space="preserve"> </w:t>
      </w:r>
      <w:r w:rsidRPr="00B57745">
        <w:rPr>
          <w:rFonts w:ascii="Arial" w:hAnsi="Arial" w:cs="Arial"/>
          <w:sz w:val="22"/>
          <w:szCs w:val="22"/>
          <w:lang w:val="es-MX" w:eastAsia="es-MX"/>
        </w:rPr>
        <w:t>en la Resolución 0137 del 17 de febrero de 2023, le corresponde al Vicepresidente de Operaciones, Regalías y Participaciones - VORP expedir</w:t>
      </w:r>
      <w:r>
        <w:rPr>
          <w:rFonts w:ascii="Arial" w:hAnsi="Arial" w:cs="Arial"/>
          <w:sz w:val="22"/>
          <w:szCs w:val="22"/>
          <w:lang w:val="es-MX" w:eastAsia="es-MX"/>
        </w:rPr>
        <w:t xml:space="preserve"> </w:t>
      </w:r>
      <w:r w:rsidR="00FA7C57">
        <w:rPr>
          <w:rFonts w:ascii="Arial" w:hAnsi="Arial" w:cs="Arial"/>
          <w:sz w:val="22"/>
          <w:szCs w:val="22"/>
          <w:lang w:val="es-MX" w:eastAsia="es-MX"/>
        </w:rPr>
        <w:t xml:space="preserve">los </w:t>
      </w:r>
      <w:r w:rsidRPr="00526E90">
        <w:rPr>
          <w:rFonts w:ascii="Arial" w:eastAsia="Arial" w:hAnsi="Arial"/>
          <w:iCs/>
          <w:sz w:val="22"/>
        </w:rPr>
        <w:t xml:space="preserve">Lineamientos </w:t>
      </w:r>
      <w:r w:rsidR="00526E90" w:rsidRPr="00557778">
        <w:rPr>
          <w:rFonts w:ascii="Arial" w:eastAsia="Arial" w:hAnsi="Arial"/>
          <w:iCs/>
          <w:sz w:val="22"/>
        </w:rPr>
        <w:t xml:space="preserve">definidos en la Resolución 40066 del 11 de febrero de 2022, </w:t>
      </w:r>
      <w:r w:rsidR="00526E90">
        <w:rPr>
          <w:rFonts w:ascii="Arial" w:eastAsia="Arial" w:hAnsi="Arial"/>
          <w:iCs/>
          <w:sz w:val="22"/>
        </w:rPr>
        <w:t xml:space="preserve">“ </w:t>
      </w:r>
      <w:r w:rsidR="00526E90" w:rsidRPr="00557778">
        <w:rPr>
          <w:rFonts w:ascii="Arial" w:eastAsia="Arial" w:hAnsi="Arial"/>
          <w:i/>
          <w:iCs/>
          <w:sz w:val="22"/>
        </w:rPr>
        <w:t>Por la cual se establecen requerimientos técnicos para la detección y reparación de fugas, el aprovechamiento, quema y venteo de gas natural durante las actividades de exploración y de explotación de hidrocarburos</w:t>
      </w:r>
      <w:r w:rsidR="00526E90">
        <w:rPr>
          <w:rFonts w:ascii="Arial" w:eastAsia="Arial" w:hAnsi="Arial"/>
          <w:iCs/>
          <w:sz w:val="22"/>
        </w:rPr>
        <w:t>”</w:t>
      </w:r>
      <w:r>
        <w:rPr>
          <w:rFonts w:ascii="Arial" w:eastAsia="Arial" w:hAnsi="Arial"/>
          <w:sz w:val="22"/>
        </w:rPr>
        <w:t xml:space="preserve">, </w:t>
      </w:r>
      <w:r w:rsidR="00526E90">
        <w:rPr>
          <w:rFonts w:ascii="Arial" w:eastAsia="Arial" w:hAnsi="Arial"/>
          <w:sz w:val="22"/>
        </w:rPr>
        <w:t xml:space="preserve">en consonancia con lo dispuesto </w:t>
      </w:r>
      <w:r w:rsidR="00FA7C57">
        <w:rPr>
          <w:rFonts w:ascii="Arial" w:eastAsia="Arial" w:hAnsi="Arial"/>
          <w:sz w:val="22"/>
        </w:rPr>
        <w:t xml:space="preserve">en el </w:t>
      </w:r>
      <w:r>
        <w:rPr>
          <w:rFonts w:ascii="Arial" w:eastAsia="Arial" w:hAnsi="Arial"/>
          <w:sz w:val="22"/>
        </w:rPr>
        <w:t>Art</w:t>
      </w:r>
      <w:r w:rsidR="00FA7C57">
        <w:rPr>
          <w:rFonts w:ascii="Arial" w:eastAsia="Arial" w:hAnsi="Arial"/>
          <w:sz w:val="22"/>
        </w:rPr>
        <w:t>í</w:t>
      </w:r>
      <w:r>
        <w:rPr>
          <w:rFonts w:ascii="Arial" w:eastAsia="Arial" w:hAnsi="Arial"/>
          <w:sz w:val="22"/>
        </w:rPr>
        <w:t xml:space="preserve">culo 3 de la Resolución 40317 de 2023, </w:t>
      </w:r>
      <w:r w:rsidR="00115BB2">
        <w:rPr>
          <w:rFonts w:ascii="Arial" w:eastAsia="Arial" w:hAnsi="Arial"/>
          <w:sz w:val="22"/>
        </w:rPr>
        <w:t xml:space="preserve">que modificó el artículo 22 </w:t>
      </w:r>
      <w:r w:rsidR="00115BB2" w:rsidRPr="00557778">
        <w:rPr>
          <w:rFonts w:ascii="Arial" w:eastAsia="Arial" w:hAnsi="Arial"/>
          <w:sz w:val="22"/>
        </w:rPr>
        <w:t>de la Resoluci</w:t>
      </w:r>
      <w:r w:rsidR="00115BB2" w:rsidRPr="00557778">
        <w:rPr>
          <w:rFonts w:ascii="Arial" w:eastAsia="Arial" w:hAnsi="Arial" w:hint="eastAsia"/>
          <w:sz w:val="22"/>
        </w:rPr>
        <w:t>ó</w:t>
      </w:r>
      <w:r w:rsidR="00115BB2" w:rsidRPr="00557778">
        <w:rPr>
          <w:rFonts w:ascii="Arial" w:eastAsia="Arial" w:hAnsi="Arial"/>
          <w:sz w:val="22"/>
        </w:rPr>
        <w:t>n n</w:t>
      </w:r>
      <w:r w:rsidR="00115BB2" w:rsidRPr="00557778">
        <w:rPr>
          <w:rFonts w:ascii="Arial" w:eastAsia="Arial" w:hAnsi="Arial" w:hint="eastAsia"/>
          <w:sz w:val="22"/>
        </w:rPr>
        <w:t>ú</w:t>
      </w:r>
      <w:r w:rsidR="00115BB2" w:rsidRPr="00557778">
        <w:rPr>
          <w:rFonts w:ascii="Arial" w:eastAsia="Arial" w:hAnsi="Arial"/>
          <w:sz w:val="22"/>
        </w:rPr>
        <w:t>mero 40066 de 2022,</w:t>
      </w:r>
      <w:r>
        <w:rPr>
          <w:rFonts w:ascii="Arial" w:eastAsia="Arial" w:hAnsi="Arial"/>
          <w:sz w:val="22"/>
        </w:rPr>
        <w:t>expedida por el Ministerio de Minas y Energía</w:t>
      </w:r>
      <w:r w:rsidR="00241E1E">
        <w:rPr>
          <w:rFonts w:ascii="Arial" w:eastAsia="Arial" w:hAnsi="Arial"/>
          <w:sz w:val="22"/>
        </w:rPr>
        <w:t>, que dispuso que “</w:t>
      </w:r>
      <w:r w:rsidR="00241E1E" w:rsidRPr="00557778">
        <w:rPr>
          <w:rFonts w:ascii="Arial" w:eastAsia="Arial" w:hAnsi="Arial"/>
          <w:i/>
          <w:sz w:val="22"/>
        </w:rPr>
        <w:t>La Entidad de Fiscalización, a más tardar el 31 de octubre del 2023, establecerá los linemaientos técnicos, incluida la eficiencia mínima y la metodología de que trata el incoso anterior, tanto para la evaluación de la eficiencia de la Tea como la presentación del informe de resultados, en concordancia con estándares internacionales y mejores prácticas aplicables a la materia.</w:t>
      </w:r>
      <w:r w:rsidR="00241E1E">
        <w:rPr>
          <w:rFonts w:ascii="Arial" w:eastAsia="Arial" w:hAnsi="Arial"/>
          <w:sz w:val="22"/>
        </w:rPr>
        <w:t>(…)”</w:t>
      </w:r>
    </w:p>
    <w:p w14:paraId="5B191413" w14:textId="5EDAD492" w:rsidR="00B83802" w:rsidRDefault="00451A31">
      <w:pPr>
        <w:pStyle w:val="Prrafodelista1"/>
        <w:ind w:left="0"/>
        <w:jc w:val="both"/>
        <w:rPr>
          <w:rFonts w:ascii="Arial" w:eastAsia="Arial" w:hAnsi="Arial"/>
          <w:color w:val="000000"/>
          <w:sz w:val="22"/>
        </w:rPr>
      </w:pPr>
      <w:bookmarkStart w:id="1" w:name="_Hlk65064294"/>
      <w:r>
        <w:rPr>
          <w:rFonts w:ascii="Arial" w:eastAsia="Arial" w:hAnsi="Arial"/>
          <w:sz w:val="22"/>
        </w:rPr>
        <w:t xml:space="preserve">Por lo anterior y en mérito de lo expuesto en la parte considerativa del presente acto, </w:t>
      </w:r>
      <w:r w:rsidR="00DB5196" w:rsidRPr="00DB5196">
        <w:rPr>
          <w:rFonts w:ascii="Arial" w:eastAsia="Arial" w:hAnsi="Arial"/>
          <w:sz w:val="22"/>
          <w:lang w:val="es-ES_tradnl"/>
        </w:rPr>
        <w:t xml:space="preserve">el </w:t>
      </w:r>
      <w:r w:rsidR="00DB5196">
        <w:rPr>
          <w:rFonts w:ascii="Arial" w:eastAsia="Arial" w:hAnsi="Arial"/>
          <w:sz w:val="22"/>
          <w:lang w:val="es-ES_tradnl"/>
        </w:rPr>
        <w:t>Vicepresidente de Operaciones,</w:t>
      </w:r>
      <w:r w:rsidR="00DB5196" w:rsidRPr="00DB5196">
        <w:rPr>
          <w:rFonts w:ascii="Arial" w:eastAsia="Arial" w:hAnsi="Arial"/>
          <w:sz w:val="22"/>
          <w:lang w:val="es-ES_tradnl"/>
        </w:rPr>
        <w:t xml:space="preserve"> </w:t>
      </w:r>
      <w:r w:rsidR="00DB5196">
        <w:rPr>
          <w:rFonts w:ascii="Arial" w:eastAsia="Arial" w:hAnsi="Arial"/>
          <w:sz w:val="22"/>
          <w:lang w:val="es-ES_tradnl"/>
        </w:rPr>
        <w:t xml:space="preserve">Regalías y </w:t>
      </w:r>
      <w:r w:rsidR="00DB5196" w:rsidRPr="00DB5196">
        <w:rPr>
          <w:rFonts w:ascii="Arial" w:eastAsia="Arial" w:hAnsi="Arial"/>
          <w:sz w:val="22"/>
          <w:lang w:val="es-ES_tradnl"/>
        </w:rPr>
        <w:t>Operaciones</w:t>
      </w:r>
      <w:r w:rsidR="00DB5196">
        <w:rPr>
          <w:rFonts w:ascii="Arial" w:eastAsia="Arial" w:hAnsi="Arial"/>
          <w:sz w:val="22"/>
        </w:rPr>
        <w:t xml:space="preserve"> de </w:t>
      </w:r>
      <w:r>
        <w:rPr>
          <w:rFonts w:ascii="Arial" w:eastAsia="Arial" w:hAnsi="Arial"/>
          <w:sz w:val="22"/>
        </w:rPr>
        <w:t>la Agencia Nacional de Hidrocarburos</w:t>
      </w:r>
      <w:r w:rsidR="007D13AA">
        <w:rPr>
          <w:rFonts w:ascii="Arial" w:eastAsia="Arial" w:hAnsi="Arial"/>
          <w:sz w:val="22"/>
        </w:rPr>
        <w:t xml:space="preserve"> - ANH</w:t>
      </w:r>
      <w:r>
        <w:rPr>
          <w:rFonts w:ascii="Arial" w:eastAsia="Arial" w:hAnsi="Arial"/>
          <w:sz w:val="22"/>
        </w:rPr>
        <w:t xml:space="preserve">, </w:t>
      </w:r>
    </w:p>
    <w:bookmarkEnd w:id="1"/>
    <w:p w14:paraId="6C241097" w14:textId="77777777" w:rsidR="00B83802" w:rsidRDefault="00B83802">
      <w:pPr>
        <w:jc w:val="center"/>
        <w:rPr>
          <w:rFonts w:ascii="Arial" w:eastAsia="Arial" w:hAnsi="Arial"/>
          <w:b/>
          <w:color w:val="000000"/>
          <w:sz w:val="16"/>
        </w:rPr>
      </w:pPr>
    </w:p>
    <w:p w14:paraId="3E9D5C14" w14:textId="77777777" w:rsidR="00B83802" w:rsidRDefault="00B83802">
      <w:pPr>
        <w:jc w:val="center"/>
        <w:rPr>
          <w:rFonts w:ascii="Arial" w:eastAsia="Arial" w:hAnsi="Arial"/>
          <w:b/>
          <w:color w:val="000000"/>
          <w:sz w:val="16"/>
        </w:rPr>
      </w:pPr>
    </w:p>
    <w:p w14:paraId="35E24268" w14:textId="77777777" w:rsidR="00B83802" w:rsidRDefault="00451A31">
      <w:pPr>
        <w:jc w:val="center"/>
        <w:rPr>
          <w:rFonts w:ascii="Arial" w:eastAsia="Arial" w:hAnsi="Arial"/>
          <w:b/>
          <w:color w:val="000000"/>
          <w:sz w:val="22"/>
        </w:rPr>
      </w:pPr>
      <w:r>
        <w:rPr>
          <w:rFonts w:ascii="Arial" w:eastAsia="Arial" w:hAnsi="Arial"/>
          <w:b/>
          <w:color w:val="000000"/>
          <w:sz w:val="22"/>
        </w:rPr>
        <w:t>RESUELVE:</w:t>
      </w:r>
    </w:p>
    <w:p w14:paraId="441A7323" w14:textId="77777777" w:rsidR="00B83802" w:rsidRDefault="00B83802">
      <w:pPr>
        <w:pStyle w:val="Textoindependiente1"/>
        <w:rPr>
          <w:rFonts w:ascii="Arial" w:eastAsia="Arial" w:hAnsi="Arial"/>
          <w:b/>
          <w:sz w:val="16"/>
        </w:rPr>
      </w:pPr>
    </w:p>
    <w:p w14:paraId="45BFDA02" w14:textId="77777777" w:rsidR="00B83802" w:rsidRDefault="00B83802">
      <w:pPr>
        <w:pStyle w:val="Textoindependiente1"/>
        <w:rPr>
          <w:rFonts w:ascii="Arial" w:eastAsia="Arial" w:hAnsi="Arial"/>
          <w:b/>
          <w:sz w:val="16"/>
        </w:rPr>
      </w:pPr>
    </w:p>
    <w:p w14:paraId="6C1B65D3" w14:textId="6A8EDD5F" w:rsidR="00B83802" w:rsidRDefault="00061AE5">
      <w:pPr>
        <w:tabs>
          <w:tab w:val="left" w:pos="9900"/>
        </w:tabs>
        <w:ind w:right="-23"/>
        <w:jc w:val="both"/>
        <w:rPr>
          <w:rFonts w:ascii="Arial" w:eastAsia="Arial" w:hAnsi="Arial"/>
          <w:sz w:val="22"/>
          <w:lang w:val="es-ES_tradnl"/>
        </w:rPr>
      </w:pPr>
      <w:r>
        <w:rPr>
          <w:rFonts w:ascii="Arial" w:eastAsia="Arial" w:hAnsi="Arial"/>
          <w:b/>
          <w:sz w:val="22"/>
          <w:lang w:val="es-ES_tradnl"/>
        </w:rPr>
        <w:t>Artículo Primero.</w:t>
      </w:r>
      <w:r w:rsidR="00451A31">
        <w:rPr>
          <w:rFonts w:ascii="Arial" w:eastAsia="Arial" w:hAnsi="Arial"/>
          <w:b/>
          <w:color w:val="FF0000"/>
          <w:sz w:val="22"/>
          <w:lang w:val="es-ES_tradnl"/>
        </w:rPr>
        <w:t xml:space="preserve"> </w:t>
      </w:r>
      <w:bookmarkStart w:id="2" w:name="_Hlk22909860"/>
      <w:r w:rsidR="00EF0991" w:rsidRPr="00EF0991">
        <w:rPr>
          <w:rFonts w:ascii="Arial" w:eastAsia="Arial" w:hAnsi="Arial"/>
          <w:sz w:val="22"/>
        </w:rPr>
        <w:t>Adoptar l</w:t>
      </w:r>
      <w:r w:rsidR="00EF0991">
        <w:rPr>
          <w:rFonts w:ascii="Arial" w:eastAsia="Arial" w:hAnsi="Arial"/>
          <w:sz w:val="22"/>
        </w:rPr>
        <w:t>o</w:t>
      </w:r>
      <w:r w:rsidR="00EF0991" w:rsidRPr="00EF0991">
        <w:rPr>
          <w:rFonts w:ascii="Arial" w:eastAsia="Arial" w:hAnsi="Arial"/>
          <w:sz w:val="22"/>
        </w:rPr>
        <w:t xml:space="preserve">s "Lineamientos </w:t>
      </w:r>
      <w:r w:rsidR="00EF0991">
        <w:rPr>
          <w:rFonts w:ascii="Arial" w:eastAsia="Arial" w:hAnsi="Arial"/>
          <w:sz w:val="22"/>
        </w:rPr>
        <w:t>T</w:t>
      </w:r>
      <w:r w:rsidR="00EF0991" w:rsidRPr="00EF0991">
        <w:rPr>
          <w:rFonts w:ascii="Arial" w:eastAsia="Arial" w:hAnsi="Arial"/>
          <w:sz w:val="22"/>
        </w:rPr>
        <w:t xml:space="preserve">écnicos </w:t>
      </w:r>
      <w:r w:rsidR="00EF0991">
        <w:rPr>
          <w:rFonts w:ascii="Arial" w:eastAsia="Arial" w:hAnsi="Arial"/>
          <w:sz w:val="22"/>
        </w:rPr>
        <w:t>p</w:t>
      </w:r>
      <w:r w:rsidR="00EF0991" w:rsidRPr="00EF0991">
        <w:rPr>
          <w:rFonts w:ascii="Arial" w:eastAsia="Arial" w:hAnsi="Arial"/>
          <w:sz w:val="22"/>
        </w:rPr>
        <w:t xml:space="preserve">ara </w:t>
      </w:r>
      <w:r w:rsidR="00EF0991">
        <w:rPr>
          <w:rFonts w:ascii="Arial" w:eastAsia="Arial" w:hAnsi="Arial"/>
          <w:sz w:val="22"/>
        </w:rPr>
        <w:t>l</w:t>
      </w:r>
      <w:r w:rsidR="00EF0991" w:rsidRPr="00EF0991">
        <w:rPr>
          <w:rFonts w:ascii="Arial" w:eastAsia="Arial" w:hAnsi="Arial"/>
          <w:sz w:val="22"/>
        </w:rPr>
        <w:t xml:space="preserve">a </w:t>
      </w:r>
      <w:r w:rsidR="00EF0991">
        <w:rPr>
          <w:rFonts w:ascii="Arial" w:eastAsia="Arial" w:hAnsi="Arial"/>
          <w:sz w:val="22"/>
        </w:rPr>
        <w:t>E</w:t>
      </w:r>
      <w:r w:rsidR="00EF0991" w:rsidRPr="00EF0991">
        <w:rPr>
          <w:rFonts w:ascii="Arial" w:eastAsia="Arial" w:hAnsi="Arial"/>
          <w:sz w:val="22"/>
        </w:rPr>
        <w:t xml:space="preserve">valuación </w:t>
      </w:r>
      <w:r w:rsidR="00EF0991">
        <w:rPr>
          <w:rFonts w:ascii="Arial" w:eastAsia="Arial" w:hAnsi="Arial"/>
          <w:sz w:val="22"/>
        </w:rPr>
        <w:t>d</w:t>
      </w:r>
      <w:r w:rsidR="00EF0991" w:rsidRPr="00EF0991">
        <w:rPr>
          <w:rFonts w:ascii="Arial" w:eastAsia="Arial" w:hAnsi="Arial"/>
          <w:sz w:val="22"/>
        </w:rPr>
        <w:t xml:space="preserve">e </w:t>
      </w:r>
      <w:r w:rsidR="0048775F">
        <w:rPr>
          <w:rFonts w:ascii="Arial" w:eastAsia="Arial" w:hAnsi="Arial"/>
          <w:sz w:val="22"/>
        </w:rPr>
        <w:t xml:space="preserve">la </w:t>
      </w:r>
      <w:r w:rsidR="00EF0991">
        <w:rPr>
          <w:rFonts w:ascii="Arial" w:eastAsia="Arial" w:hAnsi="Arial"/>
          <w:sz w:val="22"/>
        </w:rPr>
        <w:t>E</w:t>
      </w:r>
      <w:r w:rsidR="00EF0991" w:rsidRPr="00EF0991">
        <w:rPr>
          <w:rFonts w:ascii="Arial" w:eastAsia="Arial" w:hAnsi="Arial"/>
          <w:sz w:val="22"/>
        </w:rPr>
        <w:t xml:space="preserve">ficiencia </w:t>
      </w:r>
      <w:r w:rsidR="00EF0991">
        <w:rPr>
          <w:rFonts w:ascii="Arial" w:eastAsia="Arial" w:hAnsi="Arial"/>
          <w:sz w:val="22"/>
        </w:rPr>
        <w:t>d</w:t>
      </w:r>
      <w:r w:rsidR="00EF0991" w:rsidRPr="00EF0991">
        <w:rPr>
          <w:rFonts w:ascii="Arial" w:eastAsia="Arial" w:hAnsi="Arial"/>
          <w:sz w:val="22"/>
        </w:rPr>
        <w:t xml:space="preserve">e </w:t>
      </w:r>
      <w:r w:rsidR="00EF0991">
        <w:rPr>
          <w:rFonts w:ascii="Arial" w:eastAsia="Arial" w:hAnsi="Arial"/>
          <w:sz w:val="22"/>
        </w:rPr>
        <w:t>C</w:t>
      </w:r>
      <w:r w:rsidR="00EF0991" w:rsidRPr="00EF0991">
        <w:rPr>
          <w:rFonts w:ascii="Arial" w:eastAsia="Arial" w:hAnsi="Arial"/>
          <w:sz w:val="22"/>
        </w:rPr>
        <w:t xml:space="preserve">ombustión </w:t>
      </w:r>
      <w:r w:rsidR="00EF0991">
        <w:rPr>
          <w:rFonts w:ascii="Arial" w:eastAsia="Arial" w:hAnsi="Arial"/>
          <w:sz w:val="22"/>
        </w:rPr>
        <w:t>d</w:t>
      </w:r>
      <w:r w:rsidR="00EF0991" w:rsidRPr="00EF0991">
        <w:rPr>
          <w:rFonts w:ascii="Arial" w:eastAsia="Arial" w:hAnsi="Arial"/>
          <w:sz w:val="22"/>
        </w:rPr>
        <w:t xml:space="preserve">e </w:t>
      </w:r>
      <w:r w:rsidR="00EF0991">
        <w:rPr>
          <w:rFonts w:ascii="Arial" w:eastAsia="Arial" w:hAnsi="Arial"/>
          <w:sz w:val="22"/>
        </w:rPr>
        <w:t>l</w:t>
      </w:r>
      <w:r w:rsidR="00EF0991" w:rsidRPr="00EF0991">
        <w:rPr>
          <w:rFonts w:ascii="Arial" w:eastAsia="Arial" w:hAnsi="Arial"/>
          <w:sz w:val="22"/>
        </w:rPr>
        <w:t xml:space="preserve">a </w:t>
      </w:r>
      <w:r>
        <w:rPr>
          <w:rFonts w:ascii="Arial" w:eastAsia="Arial" w:hAnsi="Arial"/>
          <w:sz w:val="22"/>
        </w:rPr>
        <w:t>T</w:t>
      </w:r>
      <w:r w:rsidR="00EF0991" w:rsidRPr="00EF0991">
        <w:rPr>
          <w:rFonts w:ascii="Arial" w:eastAsia="Arial" w:hAnsi="Arial"/>
          <w:sz w:val="22"/>
        </w:rPr>
        <w:t>ea</w:t>
      </w:r>
      <w:r w:rsidR="0048775F">
        <w:rPr>
          <w:rFonts w:ascii="Arial" w:eastAsia="Arial" w:hAnsi="Arial"/>
          <w:sz w:val="22"/>
        </w:rPr>
        <w:t xml:space="preserve"> y </w:t>
      </w:r>
      <w:r>
        <w:rPr>
          <w:rFonts w:ascii="Arial" w:eastAsia="Arial" w:hAnsi="Arial"/>
          <w:sz w:val="22"/>
        </w:rPr>
        <w:t xml:space="preserve">la </w:t>
      </w:r>
      <w:r w:rsidR="0048775F" w:rsidRPr="0048775F">
        <w:rPr>
          <w:rFonts w:ascii="Arial" w:eastAsia="Arial" w:hAnsi="Arial"/>
          <w:sz w:val="22"/>
        </w:rPr>
        <w:t>presentación de</w:t>
      </w:r>
      <w:r>
        <w:rPr>
          <w:rFonts w:ascii="Arial" w:eastAsia="Arial" w:hAnsi="Arial"/>
          <w:sz w:val="22"/>
        </w:rPr>
        <w:t>l</w:t>
      </w:r>
      <w:r w:rsidR="0048775F" w:rsidRPr="0048775F">
        <w:rPr>
          <w:rFonts w:ascii="Arial" w:eastAsia="Arial" w:hAnsi="Arial"/>
          <w:sz w:val="22"/>
        </w:rPr>
        <w:t xml:space="preserve"> informe de resultados</w:t>
      </w:r>
      <w:r w:rsidR="00EF0991">
        <w:rPr>
          <w:rFonts w:ascii="Arial" w:eastAsia="Arial" w:hAnsi="Arial"/>
          <w:sz w:val="22"/>
        </w:rPr>
        <w:t>,</w:t>
      </w:r>
      <w:r w:rsidR="00EF0991" w:rsidRPr="00EF0991">
        <w:rPr>
          <w:rFonts w:ascii="Arial" w:eastAsia="Arial" w:hAnsi="Arial"/>
          <w:sz w:val="22"/>
        </w:rPr>
        <w:t xml:space="preserve"> por parte de </w:t>
      </w:r>
      <w:r>
        <w:rPr>
          <w:rFonts w:ascii="Arial" w:eastAsia="Arial" w:hAnsi="Arial"/>
          <w:sz w:val="22"/>
        </w:rPr>
        <w:t>las Compañías</w:t>
      </w:r>
      <w:r w:rsidRPr="00EF0991">
        <w:rPr>
          <w:rFonts w:ascii="Arial" w:eastAsia="Arial" w:hAnsi="Arial"/>
          <w:sz w:val="22"/>
        </w:rPr>
        <w:t xml:space="preserve"> </w:t>
      </w:r>
      <w:r>
        <w:rPr>
          <w:rFonts w:ascii="Arial" w:eastAsia="Arial" w:hAnsi="Arial"/>
          <w:sz w:val="22"/>
        </w:rPr>
        <w:t>O</w:t>
      </w:r>
      <w:r w:rsidR="00EF0991" w:rsidRPr="00EF0991">
        <w:rPr>
          <w:rFonts w:ascii="Arial" w:eastAsia="Arial" w:hAnsi="Arial"/>
          <w:sz w:val="22"/>
        </w:rPr>
        <w:t>perador</w:t>
      </w:r>
      <w:r>
        <w:rPr>
          <w:rFonts w:ascii="Arial" w:eastAsia="Arial" w:hAnsi="Arial"/>
          <w:sz w:val="22"/>
        </w:rPr>
        <w:t>a</w:t>
      </w:r>
      <w:r w:rsidR="00EF0991" w:rsidRPr="00EF0991">
        <w:rPr>
          <w:rFonts w:ascii="Arial" w:eastAsia="Arial" w:hAnsi="Arial"/>
          <w:sz w:val="22"/>
        </w:rPr>
        <w:t>s del sector hidrocarburos ", documento que se anexa a la presente resolución y hace parte integral de la misma</w:t>
      </w:r>
      <w:r w:rsidR="00EF0991">
        <w:t>.</w:t>
      </w:r>
    </w:p>
    <w:p w14:paraId="721E4D74" w14:textId="77777777" w:rsidR="00B83802" w:rsidRDefault="00451A31">
      <w:pPr>
        <w:tabs>
          <w:tab w:val="left" w:pos="9900"/>
        </w:tabs>
        <w:ind w:right="-23"/>
        <w:rPr>
          <w:rFonts w:ascii="Arial" w:eastAsia="Arial" w:hAnsi="Arial"/>
          <w:sz w:val="22"/>
          <w:lang w:val="es-ES_tradnl"/>
        </w:rPr>
      </w:pPr>
      <w:r>
        <w:rPr>
          <w:rFonts w:ascii="Arial" w:eastAsia="Arial" w:hAnsi="Arial"/>
          <w:sz w:val="22"/>
          <w:lang w:val="es-ES_tradnl"/>
        </w:rPr>
        <w:t xml:space="preserve"> </w:t>
      </w:r>
      <w:bookmarkEnd w:id="2"/>
    </w:p>
    <w:p w14:paraId="63309244" w14:textId="10F6CC7B" w:rsidR="00B83802" w:rsidRDefault="00061AE5" w:rsidP="0048775F">
      <w:pPr>
        <w:tabs>
          <w:tab w:val="left" w:pos="9900"/>
        </w:tabs>
        <w:ind w:right="-23"/>
        <w:jc w:val="both"/>
      </w:pPr>
      <w:r>
        <w:rPr>
          <w:rFonts w:ascii="Arial" w:eastAsia="Arial" w:hAnsi="Arial"/>
          <w:b/>
          <w:sz w:val="22"/>
          <w:lang w:val="es-ES_tradnl"/>
        </w:rPr>
        <w:t xml:space="preserve">Artículo </w:t>
      </w:r>
      <w:r w:rsidRPr="0048775F">
        <w:rPr>
          <w:rFonts w:ascii="Arial" w:eastAsia="Arial" w:hAnsi="Arial"/>
          <w:b/>
          <w:sz w:val="22"/>
          <w:lang w:val="es-ES_tradnl"/>
        </w:rPr>
        <w:t>Segundo</w:t>
      </w:r>
      <w:r>
        <w:rPr>
          <w:rFonts w:ascii="Arial" w:eastAsia="Arial" w:hAnsi="Arial"/>
          <w:b/>
          <w:sz w:val="22"/>
          <w:lang w:val="es-ES_tradnl"/>
        </w:rPr>
        <w:t>.</w:t>
      </w:r>
      <w:r w:rsidRPr="0048775F">
        <w:rPr>
          <w:rFonts w:ascii="Arial" w:eastAsia="Arial" w:hAnsi="Arial"/>
          <w:b/>
          <w:sz w:val="22"/>
          <w:lang w:val="es-ES_tradnl"/>
        </w:rPr>
        <w:t xml:space="preserve"> </w:t>
      </w:r>
      <w:r w:rsidR="0048775F" w:rsidRPr="0048775F">
        <w:rPr>
          <w:rFonts w:ascii="Arial" w:eastAsia="Arial" w:hAnsi="Arial"/>
          <w:sz w:val="22"/>
        </w:rPr>
        <w:t>Comunicar por intermedio de la Oficina de</w:t>
      </w:r>
      <w:r>
        <w:rPr>
          <w:rFonts w:ascii="Arial" w:eastAsia="Arial" w:hAnsi="Arial"/>
          <w:sz w:val="22"/>
        </w:rPr>
        <w:t xml:space="preserve"> </w:t>
      </w:r>
      <w:r w:rsidR="0048775F" w:rsidRPr="0048775F">
        <w:rPr>
          <w:rFonts w:ascii="Arial" w:eastAsia="Arial" w:hAnsi="Arial"/>
          <w:sz w:val="22"/>
        </w:rPr>
        <w:t xml:space="preserve"> Tecnologías de la Información </w:t>
      </w:r>
      <w:r>
        <w:rPr>
          <w:rFonts w:ascii="Arial" w:eastAsia="Arial" w:hAnsi="Arial"/>
          <w:sz w:val="22"/>
        </w:rPr>
        <w:t>y la Comunicación -OTI</w:t>
      </w:r>
      <w:r w:rsidR="00BD111B">
        <w:rPr>
          <w:rFonts w:ascii="Arial" w:eastAsia="Arial" w:hAnsi="Arial"/>
          <w:sz w:val="22"/>
        </w:rPr>
        <w:t>,</w:t>
      </w:r>
      <w:r>
        <w:rPr>
          <w:rFonts w:ascii="Arial" w:eastAsia="Arial" w:hAnsi="Arial"/>
          <w:sz w:val="22"/>
        </w:rPr>
        <w:t xml:space="preserve"> </w:t>
      </w:r>
      <w:r w:rsidR="0048775F" w:rsidRPr="0048775F">
        <w:rPr>
          <w:rFonts w:ascii="Arial" w:eastAsia="Arial" w:hAnsi="Arial"/>
          <w:sz w:val="22"/>
        </w:rPr>
        <w:t>la presente Resolución a todas las dependencias de la Agencia Nacional de Hidrocarburos</w:t>
      </w:r>
      <w:r w:rsidR="00A8636C">
        <w:rPr>
          <w:rFonts w:ascii="Arial" w:eastAsia="Arial" w:hAnsi="Arial"/>
          <w:sz w:val="22"/>
        </w:rPr>
        <w:t xml:space="preserve"> - </w:t>
      </w:r>
      <w:r w:rsidR="0048775F" w:rsidRPr="0048775F">
        <w:rPr>
          <w:rFonts w:ascii="Arial" w:eastAsia="Arial" w:hAnsi="Arial"/>
          <w:sz w:val="22"/>
        </w:rPr>
        <w:t>ANH</w:t>
      </w:r>
      <w:r w:rsidR="0048775F">
        <w:t>.</w:t>
      </w:r>
    </w:p>
    <w:p w14:paraId="425C61FE" w14:textId="77777777" w:rsidR="0048775F" w:rsidRDefault="0048775F" w:rsidP="0048775F">
      <w:pPr>
        <w:tabs>
          <w:tab w:val="left" w:pos="9900"/>
        </w:tabs>
        <w:ind w:right="-23"/>
        <w:jc w:val="both"/>
        <w:rPr>
          <w:rFonts w:ascii="Arial" w:eastAsia="Arial" w:hAnsi="Arial"/>
          <w:sz w:val="22"/>
          <w:lang w:val="es-ES_tradnl"/>
        </w:rPr>
      </w:pPr>
    </w:p>
    <w:p w14:paraId="0B8C6BC8" w14:textId="670F5649" w:rsidR="00B83802" w:rsidRDefault="00A35D44" w:rsidP="00A8636C">
      <w:pPr>
        <w:tabs>
          <w:tab w:val="left" w:pos="9900"/>
        </w:tabs>
        <w:ind w:right="-23"/>
        <w:jc w:val="both"/>
        <w:rPr>
          <w:rFonts w:ascii="Arial" w:eastAsia="Arial" w:hAnsi="Arial"/>
          <w:sz w:val="22"/>
          <w:lang w:val="es-ES_tradnl"/>
        </w:rPr>
      </w:pPr>
      <w:r>
        <w:rPr>
          <w:rFonts w:ascii="Arial" w:eastAsia="Arial" w:hAnsi="Arial"/>
          <w:b/>
          <w:sz w:val="22"/>
          <w:lang w:val="es-ES_tradnl"/>
        </w:rPr>
        <w:t xml:space="preserve">Artículo </w:t>
      </w:r>
      <w:r w:rsidRPr="00A8636C">
        <w:rPr>
          <w:rFonts w:ascii="Arial" w:eastAsia="Arial" w:hAnsi="Arial"/>
          <w:b/>
          <w:sz w:val="22"/>
          <w:lang w:val="es-ES_tradnl"/>
        </w:rPr>
        <w:t>Tercero</w:t>
      </w:r>
      <w:r>
        <w:rPr>
          <w:rFonts w:ascii="Arial" w:eastAsia="Arial" w:hAnsi="Arial"/>
          <w:b/>
          <w:sz w:val="22"/>
          <w:lang w:val="es-ES_tradnl"/>
        </w:rPr>
        <w:t>.</w:t>
      </w:r>
      <w:r>
        <w:rPr>
          <w:rFonts w:ascii="Arial" w:eastAsia="Arial" w:hAnsi="Arial"/>
          <w:b/>
          <w:color w:val="FF0000"/>
          <w:sz w:val="22"/>
          <w:lang w:val="es-ES_tradnl"/>
        </w:rPr>
        <w:t xml:space="preserve"> </w:t>
      </w:r>
      <w:r w:rsidR="00A8636C" w:rsidRPr="00A8636C">
        <w:rPr>
          <w:rFonts w:ascii="Arial" w:eastAsia="Arial" w:hAnsi="Arial"/>
          <w:sz w:val="22"/>
        </w:rPr>
        <w:t>Publicar en la Página WE</w:t>
      </w:r>
      <w:r w:rsidR="00A8636C">
        <w:rPr>
          <w:rFonts w:ascii="Arial" w:eastAsia="Arial" w:hAnsi="Arial"/>
          <w:sz w:val="22"/>
        </w:rPr>
        <w:t>B</w:t>
      </w:r>
      <w:r w:rsidR="00A8636C" w:rsidRPr="00A8636C">
        <w:rPr>
          <w:rFonts w:ascii="Arial" w:eastAsia="Arial" w:hAnsi="Arial"/>
          <w:sz w:val="22"/>
        </w:rPr>
        <w:t xml:space="preserve"> de la Agencia Nacional de Hidrocarburos la </w:t>
      </w:r>
      <w:r w:rsidR="00A8636C">
        <w:rPr>
          <w:rFonts w:ascii="Arial" w:eastAsia="Arial" w:hAnsi="Arial"/>
          <w:sz w:val="22"/>
        </w:rPr>
        <w:t>p</w:t>
      </w:r>
      <w:r w:rsidR="00A8636C" w:rsidRPr="00A8636C">
        <w:rPr>
          <w:rFonts w:ascii="Arial" w:eastAsia="Arial" w:hAnsi="Arial"/>
          <w:sz w:val="22"/>
        </w:rPr>
        <w:t>resente Resolución</w:t>
      </w:r>
      <w:r w:rsidR="00A8636C">
        <w:rPr>
          <w:rFonts w:ascii="Arial" w:eastAsia="Arial" w:hAnsi="Arial"/>
          <w:sz w:val="22"/>
        </w:rPr>
        <w:t>.</w:t>
      </w:r>
    </w:p>
    <w:p w14:paraId="250F8151" w14:textId="77777777" w:rsidR="00B83802" w:rsidRPr="00CD52BD" w:rsidRDefault="00B83802">
      <w:pPr>
        <w:rPr>
          <w:rFonts w:ascii="Arial" w:eastAsia="Arial" w:hAnsi="Arial"/>
          <w:sz w:val="22"/>
        </w:rPr>
      </w:pPr>
    </w:p>
    <w:p w14:paraId="5EE0D9F7" w14:textId="0FD15BB2" w:rsidR="00B83802" w:rsidRPr="00241E1E" w:rsidRDefault="00A35D44" w:rsidP="00CD52BD">
      <w:pPr>
        <w:tabs>
          <w:tab w:val="left" w:pos="9900"/>
        </w:tabs>
        <w:ind w:right="-23"/>
        <w:rPr>
          <w:rFonts w:ascii="Arial" w:eastAsia="Arial" w:hAnsi="Arial"/>
          <w:sz w:val="22"/>
          <w:lang w:val="es-ES_tradnl"/>
        </w:rPr>
      </w:pPr>
      <w:r w:rsidRPr="00CD52BD">
        <w:rPr>
          <w:rFonts w:ascii="Arial" w:eastAsia="Arial" w:hAnsi="Arial"/>
          <w:b/>
          <w:sz w:val="22"/>
          <w:lang w:val="es-ES_tradnl"/>
        </w:rPr>
        <w:t>Artículo Cuarto</w:t>
      </w:r>
      <w:r>
        <w:rPr>
          <w:rFonts w:ascii="Arial" w:eastAsia="Arial" w:hAnsi="Arial"/>
          <w:b/>
          <w:sz w:val="22"/>
          <w:lang w:val="es-ES_tradnl"/>
        </w:rPr>
        <w:t>.</w:t>
      </w:r>
      <w:r w:rsidRPr="00CD52BD">
        <w:rPr>
          <w:rFonts w:ascii="Arial" w:eastAsia="Arial" w:hAnsi="Arial"/>
          <w:b/>
          <w:sz w:val="22"/>
          <w:lang w:val="es-ES_tradnl"/>
        </w:rPr>
        <w:t xml:space="preserve"> </w:t>
      </w:r>
      <w:r w:rsidR="00451A31" w:rsidRPr="00CD52BD">
        <w:rPr>
          <w:rFonts w:ascii="Arial" w:eastAsia="Arial" w:hAnsi="Arial"/>
          <w:sz w:val="22"/>
          <w:lang w:val="es-ES_tradnl"/>
        </w:rPr>
        <w:t xml:space="preserve">La presente Resolución rige a partir de su </w:t>
      </w:r>
      <w:r w:rsidR="00CD52BD">
        <w:rPr>
          <w:rFonts w:ascii="Arial" w:eastAsia="Arial" w:hAnsi="Arial"/>
          <w:sz w:val="22"/>
          <w:lang w:val="es-ES_tradnl"/>
        </w:rPr>
        <w:t>publicación</w:t>
      </w:r>
      <w:r w:rsidR="00241E1E">
        <w:rPr>
          <w:rFonts w:ascii="Arial" w:eastAsia="Arial" w:hAnsi="Arial"/>
          <w:b/>
          <w:sz w:val="22"/>
          <w:lang w:val="es-ES_tradnl"/>
        </w:rPr>
        <w:t xml:space="preserve"> </w:t>
      </w:r>
      <w:r w:rsidR="00241E1E" w:rsidRPr="00557778">
        <w:rPr>
          <w:rFonts w:ascii="Arial" w:eastAsia="Arial" w:hAnsi="Arial"/>
          <w:sz w:val="22"/>
          <w:lang w:val="es-ES_tradnl"/>
        </w:rPr>
        <w:t>en el Diario Oficial.</w:t>
      </w:r>
    </w:p>
    <w:p w14:paraId="7316B4E4" w14:textId="77777777" w:rsidR="00B83802" w:rsidRPr="00CD52BD" w:rsidRDefault="00B83802">
      <w:pPr>
        <w:jc w:val="both"/>
        <w:rPr>
          <w:rFonts w:ascii="Arial" w:eastAsia="Arial" w:hAnsi="Arial"/>
          <w:b/>
          <w:sz w:val="22"/>
        </w:rPr>
      </w:pPr>
    </w:p>
    <w:p w14:paraId="492678B4" w14:textId="77777777" w:rsidR="00B83802" w:rsidRPr="00CD52BD" w:rsidRDefault="00B83802">
      <w:pPr>
        <w:jc w:val="both"/>
        <w:rPr>
          <w:rFonts w:ascii="Arial" w:eastAsia="Arial" w:hAnsi="Arial"/>
          <w:b/>
          <w:sz w:val="22"/>
        </w:rPr>
      </w:pPr>
    </w:p>
    <w:p w14:paraId="63F15E31" w14:textId="6DB771FC" w:rsidR="00B83802" w:rsidRPr="00CD52BD" w:rsidRDefault="00451A31">
      <w:pPr>
        <w:pStyle w:val="Textoindependiente21"/>
        <w:spacing w:line="240" w:lineRule="auto"/>
        <w:ind w:right="-23"/>
        <w:rPr>
          <w:rFonts w:ascii="Arial" w:eastAsia="Arial" w:hAnsi="Arial"/>
          <w:color w:val="FF0000"/>
          <w:sz w:val="22"/>
        </w:rPr>
      </w:pPr>
      <w:r w:rsidRPr="00CD52BD">
        <w:rPr>
          <w:rFonts w:ascii="Arial" w:eastAsia="Arial" w:hAnsi="Arial"/>
          <w:sz w:val="22"/>
          <w:lang w:val="es-ES_tradnl"/>
        </w:rPr>
        <w:t xml:space="preserve">Expedida en Bogotá D.C., </w:t>
      </w:r>
      <w:r w:rsidR="00CD52BD" w:rsidRPr="00CD52BD">
        <w:rPr>
          <w:rFonts w:ascii="Arial" w:eastAsia="Arial" w:hAnsi="Arial"/>
          <w:color w:val="FF0000"/>
          <w:sz w:val="22"/>
          <w:lang w:val="es-ES_tradnl"/>
        </w:rPr>
        <w:t xml:space="preserve">a los xx (xx) días del mes de </w:t>
      </w:r>
      <w:r w:rsidR="00BD111B">
        <w:rPr>
          <w:rFonts w:ascii="Arial" w:eastAsia="Arial" w:hAnsi="Arial"/>
          <w:color w:val="FF0000"/>
          <w:sz w:val="22"/>
          <w:lang w:val="es-ES_tradnl"/>
        </w:rPr>
        <w:t>o</w:t>
      </w:r>
      <w:r w:rsidR="00CD52BD" w:rsidRPr="00CD52BD">
        <w:rPr>
          <w:rFonts w:ascii="Arial" w:eastAsia="Arial" w:hAnsi="Arial"/>
          <w:color w:val="FF0000"/>
          <w:sz w:val="22"/>
          <w:lang w:val="es-ES_tradnl"/>
        </w:rPr>
        <w:t>ctubre de 2023</w:t>
      </w:r>
      <w:r w:rsidR="00CD52BD" w:rsidRPr="00CD52BD">
        <w:rPr>
          <w:rFonts w:ascii="Arial" w:eastAsia="Arial" w:hAnsi="Arial"/>
          <w:b/>
          <w:color w:val="FF0000"/>
          <w:sz w:val="22"/>
        </w:rPr>
        <w:t xml:space="preserve"> </w:t>
      </w:r>
    </w:p>
    <w:p w14:paraId="3DB75E9C" w14:textId="77777777" w:rsidR="00B83802" w:rsidRDefault="00B83802">
      <w:pPr>
        <w:ind w:left="708" w:right="-23" w:hanging="708"/>
        <w:jc w:val="center"/>
        <w:rPr>
          <w:rFonts w:ascii="Arial" w:eastAsia="Arial" w:hAnsi="Arial"/>
          <w:b/>
          <w:sz w:val="22"/>
        </w:rPr>
      </w:pPr>
    </w:p>
    <w:p w14:paraId="3EB55439" w14:textId="77777777" w:rsidR="00B83802" w:rsidRDefault="00B83802">
      <w:pPr>
        <w:ind w:left="708" w:right="-23" w:hanging="708"/>
        <w:jc w:val="center"/>
        <w:rPr>
          <w:rFonts w:ascii="Arial" w:eastAsia="Arial" w:hAnsi="Arial"/>
          <w:b/>
          <w:sz w:val="22"/>
        </w:rPr>
      </w:pPr>
    </w:p>
    <w:p w14:paraId="4D6CE878" w14:textId="77777777" w:rsidR="00B83802" w:rsidRDefault="00B83802">
      <w:pPr>
        <w:ind w:left="708" w:right="-23" w:hanging="708"/>
        <w:jc w:val="center"/>
        <w:rPr>
          <w:rFonts w:ascii="Arial" w:eastAsia="Arial" w:hAnsi="Arial"/>
          <w:b/>
          <w:sz w:val="22"/>
        </w:rPr>
      </w:pPr>
    </w:p>
    <w:p w14:paraId="661F34A9" w14:textId="77777777" w:rsidR="00B83802" w:rsidRDefault="00451A31">
      <w:pPr>
        <w:ind w:left="708" w:right="-23" w:hanging="708"/>
        <w:jc w:val="center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Notifíquese, comuníquese y cúmplase.</w:t>
      </w:r>
    </w:p>
    <w:p w14:paraId="563414E7" w14:textId="77777777" w:rsidR="00B83802" w:rsidRDefault="00B83802">
      <w:pPr>
        <w:pStyle w:val="Textoindependiente21"/>
        <w:spacing w:line="240" w:lineRule="auto"/>
        <w:ind w:right="-23"/>
        <w:jc w:val="center"/>
        <w:rPr>
          <w:rFonts w:ascii="Arial" w:eastAsia="Arial" w:hAnsi="Arial"/>
          <w:sz w:val="22"/>
        </w:rPr>
      </w:pPr>
    </w:p>
    <w:p w14:paraId="2712D622" w14:textId="77777777" w:rsidR="00B83802" w:rsidRDefault="00B83802">
      <w:pPr>
        <w:rPr>
          <w:rFonts w:ascii="Arial" w:eastAsia="Arial" w:hAnsi="Arial"/>
          <w:sz w:val="22"/>
        </w:rPr>
      </w:pPr>
    </w:p>
    <w:p w14:paraId="18ADA5A1" w14:textId="77777777" w:rsidR="00B83802" w:rsidRDefault="00B83802">
      <w:pPr>
        <w:rPr>
          <w:rFonts w:ascii="Arial" w:eastAsia="Arial" w:hAnsi="Arial"/>
          <w:sz w:val="22"/>
        </w:rPr>
      </w:pPr>
    </w:p>
    <w:p w14:paraId="58B7CBB5" w14:textId="77777777" w:rsidR="00B83802" w:rsidRDefault="00B83802">
      <w:pPr>
        <w:rPr>
          <w:rFonts w:ascii="Arial" w:eastAsia="Arial" w:hAnsi="Arial"/>
          <w:sz w:val="22"/>
        </w:rPr>
      </w:pPr>
    </w:p>
    <w:p w14:paraId="1E0EBDC4" w14:textId="77777777" w:rsidR="00B83802" w:rsidRDefault="00B83802">
      <w:pPr>
        <w:rPr>
          <w:rFonts w:ascii="Arial" w:eastAsia="Arial" w:hAnsi="Arial"/>
          <w:b/>
          <w:sz w:val="22"/>
        </w:rPr>
      </w:pPr>
    </w:p>
    <w:p w14:paraId="3692C7F8" w14:textId="76F71FCC" w:rsidR="00B83802" w:rsidRPr="00557778" w:rsidRDefault="00B57745">
      <w:pPr>
        <w:jc w:val="center"/>
        <w:rPr>
          <w:rFonts w:ascii="Arial" w:eastAsia="Arial" w:hAnsi="Arial"/>
          <w:b/>
          <w:sz w:val="22"/>
        </w:rPr>
      </w:pPr>
      <w:r w:rsidRPr="00557778">
        <w:rPr>
          <w:rFonts w:ascii="Arial" w:eastAsia="Arial" w:hAnsi="Arial"/>
          <w:b/>
          <w:sz w:val="22"/>
        </w:rPr>
        <w:t>Rafael Fajardo Moreno</w:t>
      </w:r>
    </w:p>
    <w:p w14:paraId="380E3EAD" w14:textId="51146541" w:rsidR="00B83802" w:rsidRPr="00557778" w:rsidRDefault="00B57745">
      <w:pPr>
        <w:jc w:val="center"/>
        <w:rPr>
          <w:rFonts w:ascii="Arial" w:eastAsia="Arial" w:hAnsi="Arial"/>
          <w:b/>
          <w:sz w:val="22"/>
        </w:rPr>
      </w:pPr>
      <w:r w:rsidRPr="00557778">
        <w:rPr>
          <w:rFonts w:ascii="Arial" w:eastAsia="Arial" w:hAnsi="Arial"/>
          <w:b/>
          <w:sz w:val="22"/>
        </w:rPr>
        <w:t>Vicepresidente de Operaciones, Regalías y Participaciones</w:t>
      </w:r>
    </w:p>
    <w:p w14:paraId="15873490" w14:textId="77777777" w:rsidR="00B83802" w:rsidRPr="00557778" w:rsidRDefault="00B83802">
      <w:pPr>
        <w:tabs>
          <w:tab w:val="left" w:pos="1985"/>
        </w:tabs>
        <w:ind w:left="709" w:hanging="709"/>
        <w:jc w:val="both"/>
        <w:rPr>
          <w:rFonts w:ascii="Arial" w:eastAsia="Arial" w:hAnsi="Arial"/>
          <w:sz w:val="22"/>
        </w:rPr>
      </w:pPr>
    </w:p>
    <w:p w14:paraId="7EF83740" w14:textId="77777777" w:rsidR="00B83802" w:rsidRDefault="00B83802">
      <w:pPr>
        <w:tabs>
          <w:tab w:val="left" w:pos="1985"/>
        </w:tabs>
        <w:ind w:left="709" w:hanging="709"/>
        <w:jc w:val="both"/>
        <w:rPr>
          <w:rFonts w:ascii="Arial" w:eastAsia="Arial" w:hAnsi="Arial"/>
          <w:sz w:val="12"/>
        </w:rPr>
      </w:pPr>
    </w:p>
    <w:p w14:paraId="136C8245" w14:textId="77777777" w:rsidR="00B83802" w:rsidRDefault="00B83802">
      <w:pPr>
        <w:tabs>
          <w:tab w:val="left" w:pos="1985"/>
        </w:tabs>
        <w:ind w:left="709" w:hanging="709"/>
        <w:jc w:val="both"/>
        <w:rPr>
          <w:rFonts w:ascii="Arial" w:eastAsia="Arial" w:hAnsi="Arial"/>
          <w:sz w:val="12"/>
        </w:rPr>
      </w:pPr>
    </w:p>
    <w:p w14:paraId="44CE59D2" w14:textId="77777777" w:rsidR="00B83802" w:rsidRDefault="00B83802">
      <w:pPr>
        <w:tabs>
          <w:tab w:val="left" w:pos="1985"/>
        </w:tabs>
        <w:ind w:left="709" w:hanging="709"/>
        <w:jc w:val="both"/>
        <w:rPr>
          <w:rFonts w:ascii="Arial" w:eastAsia="Arial" w:hAnsi="Arial"/>
          <w:sz w:val="12"/>
        </w:rPr>
      </w:pPr>
    </w:p>
    <w:tbl>
      <w:tblPr>
        <w:tblStyle w:val="Tablaconcuadrcula1"/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956"/>
        <w:gridCol w:w="8449"/>
      </w:tblGrid>
      <w:tr w:rsidR="00B83802" w14:paraId="7EFB23E6" w14:textId="77777777">
        <w:tc>
          <w:tcPr>
            <w:tcW w:w="508" w:type="pct"/>
            <w:shd w:val="clear" w:color="auto" w:fill="auto"/>
          </w:tcPr>
          <w:p w14:paraId="3B58B571" w14:textId="77777777" w:rsidR="00B83802" w:rsidRDefault="00451A31">
            <w:pPr>
              <w:jc w:val="both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 xml:space="preserve">Aprobó: </w:t>
            </w:r>
          </w:p>
        </w:tc>
        <w:tc>
          <w:tcPr>
            <w:tcW w:w="4492" w:type="pct"/>
            <w:shd w:val="clear" w:color="auto" w:fill="auto"/>
          </w:tcPr>
          <w:p w14:paraId="553575F5" w14:textId="77777777" w:rsidR="00B83802" w:rsidRDefault="00451A31">
            <w:pPr>
              <w:ind w:firstLine="12"/>
              <w:jc w:val="both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 xml:space="preserve">Nombre completo – Cargo/Componente (Técnico, Jurídico, Administrativo) </w:t>
            </w:r>
            <w:r>
              <w:rPr>
                <w:rFonts w:ascii="Arial" w:eastAsia="Arial" w:hAnsi="Arial"/>
                <w:b/>
                <w:color w:val="FF0000"/>
                <w:sz w:val="14"/>
              </w:rPr>
              <w:t>si no tiene se debe colocar N/A</w:t>
            </w:r>
          </w:p>
        </w:tc>
      </w:tr>
      <w:tr w:rsidR="00B83802" w14:paraId="66E7B58E" w14:textId="77777777">
        <w:tc>
          <w:tcPr>
            <w:tcW w:w="508" w:type="pct"/>
            <w:shd w:val="clear" w:color="auto" w:fill="auto"/>
          </w:tcPr>
          <w:p w14:paraId="039D1DFA" w14:textId="77777777" w:rsidR="00B83802" w:rsidRDefault="00451A31">
            <w:pPr>
              <w:jc w:val="both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 xml:space="preserve">Revisó: </w:t>
            </w:r>
          </w:p>
        </w:tc>
        <w:tc>
          <w:tcPr>
            <w:tcW w:w="4492" w:type="pct"/>
            <w:shd w:val="clear" w:color="auto" w:fill="auto"/>
          </w:tcPr>
          <w:p w14:paraId="3D93B731" w14:textId="77777777" w:rsidR="00B83802" w:rsidRDefault="00451A31">
            <w:pPr>
              <w:jc w:val="both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 xml:space="preserve">Nombre Completo – Cargo/Componente (Técnico, Jurídico, Administrativo) </w:t>
            </w:r>
            <w:r>
              <w:rPr>
                <w:rFonts w:ascii="Arial" w:eastAsia="Arial" w:hAnsi="Arial"/>
                <w:b/>
                <w:color w:val="FF0000"/>
                <w:sz w:val="14"/>
              </w:rPr>
              <w:t>si no tiene se debe colocar N/A</w:t>
            </w:r>
          </w:p>
        </w:tc>
      </w:tr>
      <w:tr w:rsidR="00B83802" w14:paraId="5B3902EE" w14:textId="77777777">
        <w:tc>
          <w:tcPr>
            <w:tcW w:w="508" w:type="pct"/>
            <w:shd w:val="clear" w:color="auto" w:fill="auto"/>
          </w:tcPr>
          <w:p w14:paraId="622CF1DC" w14:textId="77777777" w:rsidR="00B83802" w:rsidRDefault="00451A31">
            <w:pPr>
              <w:jc w:val="both"/>
              <w:rPr>
                <w:sz w:val="14"/>
              </w:rPr>
            </w:pPr>
            <w:r>
              <w:rPr>
                <w:rFonts w:ascii="Arial" w:eastAsia="Arial" w:hAnsi="Arial"/>
                <w:sz w:val="14"/>
              </w:rPr>
              <w:t xml:space="preserve">Proyectó: </w:t>
            </w:r>
          </w:p>
        </w:tc>
        <w:tc>
          <w:tcPr>
            <w:tcW w:w="4492" w:type="pct"/>
            <w:shd w:val="clear" w:color="auto" w:fill="auto"/>
          </w:tcPr>
          <w:p w14:paraId="714766A0" w14:textId="77777777" w:rsidR="00B83802" w:rsidRDefault="00451A31">
            <w:pPr>
              <w:jc w:val="both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 xml:space="preserve">Nombre Completo – Cargo/ Componente (Técnico, Jurídico, Administrativo) </w:t>
            </w:r>
            <w:r>
              <w:rPr>
                <w:rFonts w:ascii="Arial" w:eastAsia="Arial" w:hAnsi="Arial"/>
                <w:b/>
                <w:color w:val="FF0000"/>
                <w:sz w:val="14"/>
              </w:rPr>
              <w:t>si no tiene se debe colocar N/A</w:t>
            </w:r>
          </w:p>
        </w:tc>
      </w:tr>
    </w:tbl>
    <w:p w14:paraId="35325993" w14:textId="77777777" w:rsidR="00B83802" w:rsidRDefault="00B83802">
      <w:pPr>
        <w:ind w:left="567" w:hanging="567"/>
        <w:jc w:val="both"/>
        <w:rPr>
          <w:rFonts w:ascii="Arial" w:eastAsia="Arial" w:hAnsi="Arial"/>
          <w:sz w:val="12"/>
        </w:rPr>
      </w:pPr>
    </w:p>
    <w:p w14:paraId="67A33291" w14:textId="77777777" w:rsidR="00B83802" w:rsidRDefault="00B83802">
      <w:pPr>
        <w:tabs>
          <w:tab w:val="left" w:pos="1985"/>
        </w:tabs>
        <w:ind w:left="709" w:hanging="709"/>
        <w:jc w:val="both"/>
        <w:rPr>
          <w:rFonts w:ascii="Arial" w:eastAsia="Arial" w:hAnsi="Arial"/>
          <w:i/>
          <w:sz w:val="18"/>
        </w:rPr>
      </w:pPr>
    </w:p>
    <w:p w14:paraId="7AD7E087" w14:textId="77777777" w:rsidR="00B83802" w:rsidRDefault="00451A31">
      <w:pPr>
        <w:tabs>
          <w:tab w:val="left" w:pos="6910"/>
        </w:tabs>
      </w:pPr>
      <w:r>
        <w:tab/>
      </w:r>
    </w:p>
    <w:sectPr w:rsidR="00B838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/>
      <w:pgMar w:top="3402" w:right="1134" w:bottom="1701" w:left="1701" w:header="284" w:footer="440" w:gutter="0"/>
      <w:pgNumType w:start="1" w:chapSep="period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5DD989" w14:textId="77777777" w:rsidR="00477285" w:rsidRDefault="00477285">
      <w:r>
        <w:separator/>
      </w:r>
    </w:p>
  </w:endnote>
  <w:endnote w:type="continuationSeparator" w:id="0">
    <w:p w14:paraId="360733E5" w14:textId="77777777" w:rsidR="00477285" w:rsidRDefault="00477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r-Code 39">
    <w:charset w:val="02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871BC2" w14:textId="77777777" w:rsidR="00B83802" w:rsidRDefault="00451A31">
    <w:pPr>
      <w:pStyle w:val="Piedepgina1"/>
      <w:framePr w:wrap="around" w:vAnchor="text" w:hAnchor="margin" w:y="1"/>
      <w:rPr>
        <w:rStyle w:val="Nmerodepgina1"/>
      </w:rPr>
    </w:pPr>
    <w:r>
      <w:rPr>
        <w:rStyle w:val="Nmerodepgina1"/>
      </w:rPr>
      <w:fldChar w:fldCharType="begin"/>
    </w:r>
    <w:r>
      <w:rPr>
        <w:rStyle w:val="Nmerodepgina1"/>
      </w:rPr>
      <w:instrText xml:space="preserve">PAGE  </w:instrText>
    </w:r>
    <w:r>
      <w:rPr>
        <w:rStyle w:val="Nmerodepgina1"/>
      </w:rPr>
      <w:fldChar w:fldCharType="separate"/>
    </w:r>
    <w:r>
      <w:rPr>
        <w:rStyle w:val="Nmerodepgina1"/>
      </w:rPr>
      <w:t>#</w:t>
    </w:r>
    <w:r>
      <w:rPr>
        <w:rStyle w:val="Nmerodepgina1"/>
      </w:rPr>
      <w:fldChar w:fldCharType="end"/>
    </w:r>
  </w:p>
  <w:p w14:paraId="36409747" w14:textId="77777777" w:rsidR="00B83802" w:rsidRDefault="00B83802">
    <w:pPr>
      <w:pStyle w:val="Piedepgina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147710" w14:textId="77777777" w:rsidR="00B83802" w:rsidRDefault="00B83802">
    <w:pPr>
      <w:rPr>
        <w:sz w:val="12"/>
      </w:rPr>
    </w:pPr>
  </w:p>
  <w:p w14:paraId="75287AA6" w14:textId="77777777" w:rsidR="00B83802" w:rsidRDefault="00451A31">
    <w:pPr>
      <w:pStyle w:val="Piedepgina1"/>
      <w:rPr>
        <w:rFonts w:ascii="Arial" w:eastAsia="Arial" w:hAnsi="Arial"/>
        <w:sz w:val="14"/>
        <w:u w:val="single"/>
      </w:rPr>
    </w:pPr>
    <w:r>
      <w:rPr>
        <w:rFonts w:ascii="Arial" w:eastAsia="Arial" w:hAnsi="Arial"/>
        <w:b/>
        <w:noProof/>
        <w:color w:val="000000"/>
        <w:sz w:val="17"/>
        <w:lang w:val="es-CO"/>
      </w:rPr>
      <w:drawing>
        <wp:anchor distT="0" distB="0" distL="114300" distR="114300" simplePos="0" relativeHeight="251657728" behindDoc="0" locked="0" layoutInCell="1" allowOverlap="1" wp14:anchorId="70EFB76F" wp14:editId="375CFF1B">
          <wp:simplePos x="0" y="0"/>
          <wp:positionH relativeFrom="column">
            <wp:posOffset>5082540</wp:posOffset>
          </wp:positionH>
          <wp:positionV relativeFrom="paragraph">
            <wp:posOffset>13335</wp:posOffset>
          </wp:positionV>
          <wp:extent cx="940435" cy="32639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435" cy="32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F62A57" w14:textId="77777777" w:rsidR="00B83802" w:rsidRDefault="00451A31">
    <w:pPr>
      <w:rPr>
        <w:rFonts w:ascii="Arial" w:eastAsia="Arial" w:hAnsi="Arial"/>
        <w:sz w:val="14"/>
      </w:rPr>
    </w:pPr>
    <w:r>
      <w:rPr>
        <w:rFonts w:ascii="Arial" w:eastAsia="Arial" w:hAnsi="Arial"/>
        <w:sz w:val="12"/>
      </w:rPr>
      <w:t>ANH-GDO-FR-17 Versión N° 3</w:t>
    </w:r>
    <w:r>
      <w:rPr>
        <w:rFonts w:ascii="Arial" w:eastAsia="Arial" w:hAnsi="Arial"/>
        <w:sz w:val="14"/>
      </w:rPr>
      <w:t xml:space="preserve">                                                                   Pág. </w:t>
    </w:r>
    <w:r>
      <w:rPr>
        <w:rFonts w:ascii="Arial" w:eastAsia="Arial" w:hAnsi="Arial"/>
        <w:sz w:val="14"/>
      </w:rPr>
      <w:fldChar w:fldCharType="begin"/>
    </w:r>
    <w:r>
      <w:rPr>
        <w:rFonts w:ascii="Arial" w:eastAsia="Arial" w:hAnsi="Arial"/>
        <w:sz w:val="14"/>
      </w:rPr>
      <w:instrText>PAGE</w:instrText>
    </w:r>
    <w:r>
      <w:rPr>
        <w:rFonts w:ascii="Arial" w:eastAsia="Arial" w:hAnsi="Arial"/>
        <w:sz w:val="14"/>
      </w:rPr>
      <w:fldChar w:fldCharType="separate"/>
    </w:r>
    <w:r w:rsidR="0044149F">
      <w:rPr>
        <w:rFonts w:ascii="Arial" w:eastAsia="Arial" w:hAnsi="Arial"/>
        <w:noProof/>
        <w:sz w:val="14"/>
      </w:rPr>
      <w:t>1</w:t>
    </w:r>
    <w:r>
      <w:rPr>
        <w:rFonts w:ascii="Arial" w:eastAsia="Arial" w:hAnsi="Arial"/>
        <w:sz w:val="14"/>
      </w:rPr>
      <w:fldChar w:fldCharType="end"/>
    </w:r>
    <w:r>
      <w:rPr>
        <w:rFonts w:ascii="Arial" w:eastAsia="Arial" w:hAnsi="Arial"/>
        <w:sz w:val="14"/>
      </w:rPr>
      <w:t xml:space="preserve"> de </w:t>
    </w:r>
    <w:r>
      <w:rPr>
        <w:rFonts w:ascii="Arial" w:eastAsia="Arial" w:hAnsi="Arial"/>
        <w:sz w:val="14"/>
      </w:rPr>
      <w:fldChar w:fldCharType="begin"/>
    </w:r>
    <w:r>
      <w:rPr>
        <w:rFonts w:ascii="Arial" w:eastAsia="Arial" w:hAnsi="Arial"/>
        <w:sz w:val="14"/>
      </w:rPr>
      <w:instrText>NUMPAGES</w:instrText>
    </w:r>
    <w:r>
      <w:rPr>
        <w:rFonts w:ascii="Arial" w:eastAsia="Arial" w:hAnsi="Arial"/>
        <w:sz w:val="14"/>
      </w:rPr>
      <w:fldChar w:fldCharType="separate"/>
    </w:r>
    <w:r w:rsidR="0044149F">
      <w:rPr>
        <w:rFonts w:ascii="Arial" w:eastAsia="Arial" w:hAnsi="Arial"/>
        <w:noProof/>
        <w:sz w:val="14"/>
      </w:rPr>
      <w:t>2</w:t>
    </w:r>
    <w:r>
      <w:rPr>
        <w:rFonts w:ascii="Arial" w:eastAsia="Arial" w:hAnsi="Arial"/>
        <w:sz w:val="14"/>
      </w:rPr>
      <w:fldChar w:fldCharType="end"/>
    </w:r>
  </w:p>
  <w:p w14:paraId="7AC32524" w14:textId="77777777" w:rsidR="00B83802" w:rsidRDefault="00B83802">
    <w:pPr>
      <w:pStyle w:val="Encabezado1"/>
      <w:rPr>
        <w:rFonts w:ascii="Arial" w:eastAsia="Arial" w:hAnsi="Arial"/>
        <w:sz w:val="12"/>
      </w:rPr>
    </w:pPr>
  </w:p>
  <w:p w14:paraId="2B74D89B" w14:textId="77777777" w:rsidR="00B83802" w:rsidRDefault="00B83802">
    <w:pPr>
      <w:pStyle w:val="Piedepgina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050A4C" w14:textId="77777777" w:rsidR="00B83802" w:rsidRDefault="00B83802">
    <w:pPr>
      <w:pStyle w:val="Piedepgina1"/>
      <w:rPr>
        <w:rFonts w:ascii="Arial" w:eastAsia="Arial" w:hAnsi="Arial"/>
        <w:b/>
        <w:sz w:val="14"/>
      </w:rPr>
    </w:pPr>
  </w:p>
  <w:p w14:paraId="2168BC16" w14:textId="77777777" w:rsidR="00B83802" w:rsidRDefault="00451A31">
    <w:pPr>
      <w:pStyle w:val="Piedepgina1"/>
      <w:jc w:val="center"/>
      <w:rPr>
        <w:rFonts w:ascii="Arial" w:eastAsia="Arial" w:hAnsi="Arial"/>
        <w:color w:val="404040"/>
        <w:sz w:val="14"/>
      </w:rPr>
    </w:pPr>
    <w:r>
      <w:rPr>
        <w:rFonts w:ascii="Arial" w:eastAsia="Arial" w:hAnsi="Arial"/>
        <w:color w:val="404040"/>
        <w:sz w:val="14"/>
      </w:rPr>
      <w:t>Avenida Calle 26 Nº 59 – 65 Piso 2, Edificio de la Cámara Colombiana de la Infraestructura - Bogotá D.C. – Colombia</w:t>
    </w:r>
  </w:p>
  <w:p w14:paraId="4A044D7E" w14:textId="77777777" w:rsidR="00B83802" w:rsidRDefault="00451A31">
    <w:pPr>
      <w:pStyle w:val="Piedepgina1"/>
      <w:jc w:val="center"/>
      <w:rPr>
        <w:rStyle w:val="Hipervnculo1"/>
        <w:rFonts w:ascii="Arial" w:eastAsia="Arial" w:hAnsi="Arial"/>
        <w:color w:val="404040"/>
        <w:sz w:val="14"/>
      </w:rPr>
    </w:pPr>
    <w:r>
      <w:rPr>
        <w:rFonts w:ascii="Arial" w:eastAsia="Arial" w:hAnsi="Arial"/>
        <w:color w:val="404040"/>
        <w:sz w:val="14"/>
      </w:rPr>
      <w:t xml:space="preserve">Teléfono (PBX): + 57(1) 5931717  </w:t>
    </w:r>
    <w:hyperlink r:id="rId1" w:history="1">
      <w:r>
        <w:rPr>
          <w:rStyle w:val="Hipervnculo1"/>
          <w:rFonts w:ascii="Arial" w:eastAsia="Arial" w:hAnsi="Arial"/>
          <w:color w:val="404040"/>
          <w:sz w:val="14"/>
        </w:rPr>
        <w:t>www.anh.gov.co</w:t>
      </w:r>
    </w:hyperlink>
  </w:p>
  <w:p w14:paraId="221DA8C7" w14:textId="77777777" w:rsidR="00B83802" w:rsidRDefault="00B83802">
    <w:pPr>
      <w:pStyle w:val="Piedepgina1"/>
      <w:jc w:val="center"/>
      <w:rPr>
        <w:rStyle w:val="Hipervnculo1"/>
        <w:rFonts w:ascii="Arial" w:eastAsia="Arial" w:hAnsi="Arial"/>
        <w:color w:val="404040"/>
        <w:sz w:val="14"/>
      </w:rPr>
    </w:pPr>
  </w:p>
  <w:p w14:paraId="66E09123" w14:textId="77777777" w:rsidR="00B83802" w:rsidRDefault="00451A31">
    <w:pPr>
      <w:pStyle w:val="Piedepgina1"/>
      <w:jc w:val="center"/>
      <w:rPr>
        <w:rFonts w:ascii="Arial" w:eastAsia="Arial" w:hAnsi="Arial"/>
        <w:b/>
        <w:color w:val="404040"/>
        <w:sz w:val="14"/>
      </w:rPr>
    </w:pPr>
    <w:r>
      <w:rPr>
        <w:rFonts w:ascii="Arial" w:eastAsia="Arial" w:hAnsi="Arial"/>
        <w:b/>
        <w:color w:val="404040"/>
        <w:sz w:val="14"/>
      </w:rPr>
      <w:t xml:space="preserve">Página </w:t>
    </w:r>
    <w:r>
      <w:rPr>
        <w:rFonts w:ascii="Arial" w:eastAsia="Arial" w:hAnsi="Arial"/>
        <w:b/>
        <w:color w:val="404040"/>
        <w:sz w:val="14"/>
      </w:rPr>
      <w:fldChar w:fldCharType="begin"/>
    </w:r>
    <w:r>
      <w:rPr>
        <w:rFonts w:ascii="Arial" w:eastAsia="Arial" w:hAnsi="Arial"/>
        <w:b/>
        <w:color w:val="404040"/>
        <w:sz w:val="14"/>
      </w:rPr>
      <w:instrText>PAGE</w:instrText>
    </w:r>
    <w:r>
      <w:rPr>
        <w:rFonts w:ascii="Arial" w:eastAsia="Arial" w:hAnsi="Arial"/>
        <w:b/>
        <w:color w:val="404040"/>
        <w:sz w:val="14"/>
      </w:rPr>
      <w:fldChar w:fldCharType="separate"/>
    </w:r>
    <w:r>
      <w:rPr>
        <w:rFonts w:ascii="Arial" w:eastAsia="Arial" w:hAnsi="Arial"/>
        <w:b/>
        <w:color w:val="404040"/>
        <w:sz w:val="14"/>
      </w:rPr>
      <w:t>#</w:t>
    </w:r>
    <w:r>
      <w:rPr>
        <w:rFonts w:ascii="Arial" w:eastAsia="Arial" w:hAnsi="Arial"/>
        <w:b/>
        <w:color w:val="404040"/>
        <w:sz w:val="14"/>
      </w:rPr>
      <w:fldChar w:fldCharType="end"/>
    </w:r>
    <w:r>
      <w:rPr>
        <w:rFonts w:ascii="Arial" w:eastAsia="Arial" w:hAnsi="Arial"/>
        <w:b/>
        <w:color w:val="404040"/>
        <w:sz w:val="14"/>
      </w:rPr>
      <w:t xml:space="preserve"> de </w:t>
    </w:r>
    <w:r>
      <w:rPr>
        <w:rFonts w:ascii="Arial" w:eastAsia="Arial" w:hAnsi="Arial"/>
        <w:b/>
        <w:color w:val="404040"/>
        <w:sz w:val="14"/>
      </w:rPr>
      <w:fldChar w:fldCharType="begin"/>
    </w:r>
    <w:r>
      <w:rPr>
        <w:rFonts w:ascii="Arial" w:eastAsia="Arial" w:hAnsi="Arial"/>
        <w:b/>
        <w:color w:val="404040"/>
        <w:sz w:val="14"/>
      </w:rPr>
      <w:instrText>NUMPAGES</w:instrText>
    </w:r>
    <w:r>
      <w:rPr>
        <w:rFonts w:ascii="Arial" w:eastAsia="Arial" w:hAnsi="Arial"/>
        <w:b/>
        <w:color w:val="404040"/>
        <w:sz w:val="14"/>
      </w:rPr>
      <w:fldChar w:fldCharType="separate"/>
    </w:r>
    <w:r>
      <w:rPr>
        <w:rFonts w:ascii="Arial" w:eastAsia="Arial" w:hAnsi="Arial"/>
        <w:b/>
        <w:color w:val="404040"/>
        <w:sz w:val="14"/>
      </w:rPr>
      <w:t>#</w:t>
    </w:r>
    <w:r>
      <w:rPr>
        <w:rFonts w:ascii="Arial" w:eastAsia="Arial" w:hAnsi="Arial"/>
        <w:b/>
        <w:color w:val="404040"/>
        <w:sz w:val="14"/>
      </w:rPr>
      <w:fldChar w:fldCharType="end"/>
    </w:r>
  </w:p>
  <w:p w14:paraId="502CEA6B" w14:textId="77777777" w:rsidR="00B83802" w:rsidRDefault="00B83802">
    <w:pPr>
      <w:pStyle w:val="Piedepgina1"/>
      <w:jc w:val="center"/>
      <w:rPr>
        <w:rFonts w:ascii="Arial" w:eastAsia="Arial" w:hAnsi="Arial"/>
        <w:sz w:val="14"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9068AF" w14:textId="77777777" w:rsidR="00477285" w:rsidRDefault="00477285">
      <w:r>
        <w:separator/>
      </w:r>
    </w:p>
  </w:footnote>
  <w:footnote w:type="continuationSeparator" w:id="0">
    <w:p w14:paraId="2E8F4014" w14:textId="77777777" w:rsidR="00477285" w:rsidRDefault="004772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3C4DB" w14:textId="77777777" w:rsidR="00B83802" w:rsidRDefault="00451A31">
    <w:pPr>
      <w:pStyle w:val="Encabezado1"/>
      <w:framePr w:wrap="around" w:vAnchor="text" w:hAnchor="margin" w:y="1"/>
      <w:rPr>
        <w:rStyle w:val="Nmerodepgina1"/>
      </w:rPr>
    </w:pPr>
    <w:r>
      <w:rPr>
        <w:rStyle w:val="Nmerodepgina1"/>
      </w:rPr>
      <w:fldChar w:fldCharType="begin"/>
    </w:r>
    <w:r>
      <w:rPr>
        <w:rStyle w:val="Nmerodepgina1"/>
      </w:rPr>
      <w:instrText xml:space="preserve">PAGE  </w:instrText>
    </w:r>
    <w:r>
      <w:rPr>
        <w:rStyle w:val="Nmerodepgina1"/>
      </w:rPr>
      <w:fldChar w:fldCharType="separate"/>
    </w:r>
    <w:r>
      <w:rPr>
        <w:rStyle w:val="Nmerodepgina1"/>
      </w:rPr>
      <w:t>#</w:t>
    </w:r>
    <w:r>
      <w:rPr>
        <w:rStyle w:val="Nmerodepgina1"/>
      </w:rPr>
      <w:fldChar w:fldCharType="end"/>
    </w:r>
  </w:p>
  <w:p w14:paraId="0BB3E3F9" w14:textId="77777777" w:rsidR="00B83802" w:rsidRDefault="00B83802">
    <w:pPr>
      <w:pStyle w:val="Encabezado1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DE7D4A" w14:textId="77777777" w:rsidR="00B83802" w:rsidRDefault="00B83802">
    <w:pPr>
      <w:pStyle w:val="Encabezado1"/>
      <w:framePr w:wrap="around" w:vAnchor="text" w:hAnchor="margin" w:y="1"/>
      <w:rPr>
        <w:rStyle w:val="Nmerodepgina1"/>
      </w:rPr>
    </w:pPr>
  </w:p>
  <w:p w14:paraId="497964F6" w14:textId="77777777" w:rsidR="00B83802" w:rsidRDefault="00B83802">
    <w:pPr>
      <w:pStyle w:val="Encabezado1"/>
      <w:tabs>
        <w:tab w:val="center" w:pos="4845"/>
        <w:tab w:val="left" w:pos="7140"/>
      </w:tabs>
      <w:jc w:val="center"/>
      <w:rPr>
        <w:rFonts w:ascii="Arial" w:eastAsia="Arial" w:hAnsi="Arial"/>
        <w:b/>
        <w:sz w:val="22"/>
        <w:lang w:val="en-US"/>
      </w:rPr>
    </w:pPr>
  </w:p>
  <w:p w14:paraId="51230C7B" w14:textId="77777777" w:rsidR="00B83802" w:rsidRDefault="00451A31">
    <w:pPr>
      <w:pStyle w:val="Encabezado1"/>
      <w:tabs>
        <w:tab w:val="left" w:pos="3777"/>
        <w:tab w:val="center" w:pos="4845"/>
        <w:tab w:val="left" w:pos="7140"/>
      </w:tabs>
      <w:rPr>
        <w:rFonts w:ascii="Arial" w:eastAsia="Arial" w:hAnsi="Arial"/>
        <w:b/>
        <w:sz w:val="22"/>
        <w:lang w:val="en-US"/>
      </w:rPr>
    </w:pPr>
    <w:r>
      <w:rPr>
        <w:rFonts w:ascii="Arial" w:eastAsia="Arial" w:hAnsi="Arial"/>
        <w:b/>
        <w:noProof/>
        <w:sz w:val="16"/>
        <w:lang w:val="es-CO"/>
      </w:rPr>
      <w:drawing>
        <wp:anchor distT="0" distB="0" distL="114300" distR="114300" simplePos="0" relativeHeight="251656704" behindDoc="0" locked="0" layoutInCell="1" allowOverlap="1" wp14:anchorId="34182B23" wp14:editId="1E3BA32D">
          <wp:simplePos x="0" y="0"/>
          <wp:positionH relativeFrom="margin">
            <wp:align>center</wp:align>
          </wp:positionH>
          <wp:positionV relativeFrom="paragraph">
            <wp:posOffset>109855</wp:posOffset>
          </wp:positionV>
          <wp:extent cx="1391285" cy="4826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1285" cy="4826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A29FBA" w14:textId="77777777" w:rsidR="00B83802" w:rsidRDefault="00B83802">
    <w:pPr>
      <w:pStyle w:val="Encabezado1"/>
      <w:tabs>
        <w:tab w:val="center" w:pos="4845"/>
        <w:tab w:val="left" w:pos="7140"/>
      </w:tabs>
      <w:jc w:val="center"/>
      <w:rPr>
        <w:rFonts w:ascii="Arial" w:eastAsia="Arial" w:hAnsi="Arial"/>
        <w:b/>
        <w:sz w:val="22"/>
        <w:lang w:val="en-US"/>
      </w:rPr>
    </w:pPr>
  </w:p>
  <w:p w14:paraId="21D682A1" w14:textId="77777777" w:rsidR="00B83802" w:rsidRDefault="00B83802">
    <w:pPr>
      <w:pStyle w:val="Encabezado1"/>
      <w:tabs>
        <w:tab w:val="center" w:pos="4845"/>
        <w:tab w:val="left" w:pos="7140"/>
      </w:tabs>
      <w:jc w:val="center"/>
      <w:rPr>
        <w:rFonts w:ascii="Arial" w:eastAsia="Arial" w:hAnsi="Arial"/>
        <w:b/>
        <w:sz w:val="22"/>
        <w:lang w:val="en-US"/>
      </w:rPr>
    </w:pPr>
  </w:p>
  <w:p w14:paraId="3D5E2F15" w14:textId="77777777" w:rsidR="00B83802" w:rsidRDefault="00B83802">
    <w:pPr>
      <w:pStyle w:val="Encabezado1"/>
      <w:tabs>
        <w:tab w:val="center" w:pos="4845"/>
        <w:tab w:val="left" w:pos="7140"/>
      </w:tabs>
      <w:jc w:val="center"/>
      <w:rPr>
        <w:rFonts w:ascii="Arial" w:eastAsia="Arial" w:hAnsi="Arial"/>
        <w:b/>
        <w:sz w:val="22"/>
      </w:rPr>
    </w:pPr>
  </w:p>
  <w:p w14:paraId="6141153D" w14:textId="77777777" w:rsidR="00B83802" w:rsidRDefault="00B83802">
    <w:pPr>
      <w:pStyle w:val="Encabezado1"/>
      <w:tabs>
        <w:tab w:val="center" w:pos="4845"/>
        <w:tab w:val="left" w:pos="7140"/>
      </w:tabs>
      <w:jc w:val="center"/>
      <w:rPr>
        <w:rFonts w:ascii="Arial" w:eastAsia="Arial" w:hAnsi="Arial"/>
        <w:b/>
        <w:sz w:val="22"/>
      </w:rPr>
    </w:pPr>
  </w:p>
  <w:p w14:paraId="18D8B27C" w14:textId="77777777" w:rsidR="00B83802" w:rsidRDefault="00B83802">
    <w:pPr>
      <w:pStyle w:val="Encabezado1"/>
      <w:tabs>
        <w:tab w:val="center" w:pos="4845"/>
        <w:tab w:val="left" w:pos="7140"/>
      </w:tabs>
      <w:jc w:val="center"/>
      <w:rPr>
        <w:rFonts w:ascii="Arial" w:eastAsia="Arial" w:hAnsi="Arial"/>
        <w:b/>
        <w:sz w:val="22"/>
      </w:rPr>
    </w:pPr>
  </w:p>
  <w:p w14:paraId="4C43F30C" w14:textId="319CC4D6" w:rsidR="00B83802" w:rsidRDefault="00451A31">
    <w:pPr>
      <w:pStyle w:val="Encabezado1"/>
      <w:tabs>
        <w:tab w:val="center" w:pos="4845"/>
        <w:tab w:val="left" w:pos="7140"/>
      </w:tabs>
      <w:jc w:val="center"/>
      <w:rPr>
        <w:rFonts w:ascii="Arial" w:eastAsia="Arial" w:hAnsi="Arial"/>
        <w:b/>
        <w:sz w:val="22"/>
      </w:rPr>
    </w:pPr>
    <w:r>
      <w:rPr>
        <w:rFonts w:ascii="Arial" w:eastAsia="Arial" w:hAnsi="Arial"/>
        <w:b/>
        <w:sz w:val="22"/>
      </w:rPr>
      <w:t xml:space="preserve">RESOLUCIÓN No. </w:t>
    </w:r>
    <w:bookmarkStart w:id="3" w:name="_Hlk42612605"/>
    <w:r>
      <w:rPr>
        <w:rFonts w:ascii="Arial" w:eastAsia="Arial" w:hAnsi="Arial"/>
        <w:b/>
        <w:sz w:val="22"/>
      </w:rPr>
      <w:t>R4D1C4D0_1 DEL R4D1C4D0_2</w:t>
    </w:r>
  </w:p>
  <w:bookmarkEnd w:id="3"/>
  <w:p w14:paraId="65CFEF72" w14:textId="77777777" w:rsidR="00B83802" w:rsidRDefault="00B83802">
    <w:pPr>
      <w:pStyle w:val="Encabezado1"/>
      <w:jc w:val="center"/>
      <w:rPr>
        <w:rFonts w:ascii="Arial" w:eastAsia="Arial" w:hAnsi="Arial"/>
        <w:b/>
        <w:sz w:val="22"/>
      </w:rPr>
    </w:pPr>
  </w:p>
  <w:p w14:paraId="7521CB51" w14:textId="066122B6" w:rsidR="00B83802" w:rsidRDefault="00451A31" w:rsidP="0054065F">
    <w:pPr>
      <w:jc w:val="center"/>
      <w:rPr>
        <w:rFonts w:ascii="Arial" w:eastAsia="Arial" w:hAnsi="Arial"/>
        <w:i/>
        <w:sz w:val="22"/>
      </w:rPr>
    </w:pPr>
    <w:r>
      <w:rPr>
        <w:rFonts w:ascii="Arial" w:eastAsia="Arial" w:hAnsi="Arial"/>
        <w:i/>
        <w:sz w:val="22"/>
      </w:rPr>
      <w:t>“Por la cual se</w:t>
    </w:r>
    <w:r w:rsidR="00DA550D">
      <w:rPr>
        <w:rFonts w:ascii="Arial" w:eastAsia="Arial" w:hAnsi="Arial"/>
        <w:i/>
        <w:sz w:val="22"/>
      </w:rPr>
      <w:t xml:space="preserve"> </w:t>
    </w:r>
    <w:r w:rsidR="00DA550D" w:rsidRPr="00DA550D">
      <w:rPr>
        <w:rFonts w:ascii="Arial" w:eastAsia="Arial" w:hAnsi="Arial"/>
        <w:i/>
        <w:sz w:val="22"/>
      </w:rPr>
      <w:t xml:space="preserve">adoptan </w:t>
    </w:r>
    <w:r w:rsidR="000E2A36">
      <w:rPr>
        <w:rFonts w:ascii="Arial" w:eastAsia="Arial" w:hAnsi="Arial"/>
        <w:i/>
        <w:sz w:val="22"/>
      </w:rPr>
      <w:t xml:space="preserve">los lineamientos técnicos para la evaluación de la eficiencia de combustión </w:t>
    </w:r>
    <w:r w:rsidR="009C0CAA">
      <w:rPr>
        <w:rFonts w:ascii="Arial" w:eastAsia="Arial" w:hAnsi="Arial"/>
        <w:i/>
        <w:sz w:val="22"/>
      </w:rPr>
      <w:t>en</w:t>
    </w:r>
    <w:r w:rsidR="0048775F">
      <w:rPr>
        <w:rFonts w:ascii="Arial" w:eastAsia="Arial" w:hAnsi="Arial"/>
        <w:i/>
        <w:sz w:val="22"/>
      </w:rPr>
      <w:t xml:space="preserve"> </w:t>
    </w:r>
    <w:r w:rsidR="00061AE5">
      <w:rPr>
        <w:rFonts w:ascii="Arial" w:eastAsia="Arial" w:hAnsi="Arial"/>
        <w:i/>
        <w:sz w:val="22"/>
      </w:rPr>
      <w:t>T</w:t>
    </w:r>
    <w:r w:rsidR="000E2A36">
      <w:rPr>
        <w:rFonts w:ascii="Arial" w:eastAsia="Arial" w:hAnsi="Arial"/>
        <w:i/>
        <w:sz w:val="22"/>
      </w:rPr>
      <w:t>ea</w:t>
    </w:r>
    <w:r w:rsidR="0054065F">
      <w:rPr>
        <w:rFonts w:ascii="Arial" w:eastAsia="Arial" w:hAnsi="Arial"/>
        <w:i/>
        <w:sz w:val="22"/>
      </w:rPr>
      <w:t xml:space="preserve"> y </w:t>
    </w:r>
    <w:r w:rsidR="00E83630">
      <w:rPr>
        <w:rFonts w:ascii="Arial" w:eastAsia="Arial" w:hAnsi="Arial"/>
        <w:i/>
        <w:sz w:val="22"/>
      </w:rPr>
      <w:t xml:space="preserve">la </w:t>
    </w:r>
    <w:r w:rsidR="0054065F">
      <w:rPr>
        <w:rFonts w:ascii="Arial" w:eastAsia="Arial" w:hAnsi="Arial"/>
        <w:i/>
        <w:sz w:val="22"/>
      </w:rPr>
      <w:t>presentación de</w:t>
    </w:r>
    <w:r w:rsidR="00E83630">
      <w:rPr>
        <w:rFonts w:ascii="Arial" w:eastAsia="Arial" w:hAnsi="Arial"/>
        <w:i/>
        <w:sz w:val="22"/>
      </w:rPr>
      <w:t>l</w:t>
    </w:r>
    <w:r w:rsidR="0054065F">
      <w:rPr>
        <w:rFonts w:ascii="Arial" w:eastAsia="Arial" w:hAnsi="Arial"/>
        <w:i/>
        <w:sz w:val="22"/>
      </w:rPr>
      <w:t xml:space="preserve"> informe de resultados, </w:t>
    </w:r>
    <w:r w:rsidR="0054065F" w:rsidRPr="0054065F">
      <w:rPr>
        <w:rFonts w:ascii="Arial" w:eastAsia="Arial" w:hAnsi="Arial"/>
        <w:i/>
        <w:sz w:val="22"/>
      </w:rPr>
      <w:t xml:space="preserve">por parte de </w:t>
    </w:r>
    <w:r w:rsidR="00E83630">
      <w:rPr>
        <w:rFonts w:ascii="Arial" w:eastAsia="Arial" w:hAnsi="Arial"/>
        <w:i/>
        <w:sz w:val="22"/>
      </w:rPr>
      <w:t xml:space="preserve">las Compañías </w:t>
    </w:r>
    <w:r w:rsidR="0054065F" w:rsidRPr="0054065F">
      <w:rPr>
        <w:rFonts w:ascii="Arial" w:eastAsia="Arial" w:hAnsi="Arial"/>
        <w:i/>
        <w:sz w:val="22"/>
      </w:rPr>
      <w:t xml:space="preserve"> </w:t>
    </w:r>
    <w:r w:rsidR="00E83630">
      <w:rPr>
        <w:rFonts w:ascii="Arial" w:eastAsia="Arial" w:hAnsi="Arial"/>
        <w:i/>
        <w:sz w:val="22"/>
      </w:rPr>
      <w:t>O</w:t>
    </w:r>
    <w:r w:rsidR="0054065F" w:rsidRPr="0054065F">
      <w:rPr>
        <w:rFonts w:ascii="Arial" w:eastAsia="Arial" w:hAnsi="Arial"/>
        <w:i/>
        <w:sz w:val="22"/>
      </w:rPr>
      <w:t>perador</w:t>
    </w:r>
    <w:r w:rsidR="00E83630">
      <w:rPr>
        <w:rFonts w:ascii="Arial" w:eastAsia="Arial" w:hAnsi="Arial"/>
        <w:i/>
        <w:sz w:val="22"/>
      </w:rPr>
      <w:t>a</w:t>
    </w:r>
    <w:r w:rsidR="0054065F" w:rsidRPr="0054065F">
      <w:rPr>
        <w:rFonts w:ascii="Arial" w:eastAsia="Arial" w:hAnsi="Arial"/>
        <w:i/>
        <w:sz w:val="22"/>
      </w:rPr>
      <w:t>s del</w:t>
    </w:r>
    <w:r w:rsidR="00E83630">
      <w:rPr>
        <w:rFonts w:ascii="Arial" w:eastAsia="Arial" w:hAnsi="Arial"/>
        <w:i/>
        <w:sz w:val="22"/>
      </w:rPr>
      <w:t xml:space="preserve"> </w:t>
    </w:r>
    <w:r w:rsidR="0054065F" w:rsidRPr="0054065F">
      <w:rPr>
        <w:rFonts w:ascii="Arial" w:eastAsia="Arial" w:hAnsi="Arial"/>
        <w:i/>
        <w:sz w:val="22"/>
      </w:rPr>
      <w:t>sector hidrocarburos</w:t>
    </w:r>
    <w:r>
      <w:rPr>
        <w:rFonts w:ascii="Arial" w:eastAsia="Arial" w:hAnsi="Arial"/>
        <w:i/>
        <w:sz w:val="22"/>
      </w:rPr>
      <w:t>”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0885C1" w14:textId="77777777" w:rsidR="00B83802" w:rsidRDefault="00B83802">
    <w:pPr>
      <w:pStyle w:val="Encabezado1"/>
      <w:framePr w:wrap="around" w:vAnchor="text" w:hAnchor="margin" w:y="1"/>
      <w:rPr>
        <w:rStyle w:val="Nmerodepgina1"/>
      </w:rPr>
    </w:pPr>
  </w:p>
  <w:tbl>
    <w:tblPr>
      <w:tblStyle w:val="Tablanormal1"/>
      <w:tblW w:w="5026" w:type="dxa"/>
      <w:jc w:val="right"/>
      <w:tblBorders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  <w:insideH w:val="nil"/>
        <w:insideV w:val="nil"/>
      </w:tblBorders>
      <w:tblLook w:val="0000" w:firstRow="0" w:lastRow="0" w:firstColumn="0" w:lastColumn="0" w:noHBand="0" w:noVBand="0"/>
    </w:tblPr>
    <w:tblGrid>
      <w:gridCol w:w="2051"/>
      <w:gridCol w:w="2975"/>
    </w:tblGrid>
    <w:tr w:rsidR="00B83802" w14:paraId="2476FE80" w14:textId="77777777">
      <w:trPr>
        <w:trHeight w:val="585"/>
        <w:jc w:val="right"/>
      </w:trPr>
      <w:tc>
        <w:tcPr>
          <w:tcW w:w="2051" w:type="dxa"/>
          <w:tcBorders>
            <w:top w:val="dotted" w:sz="4" w:space="0" w:color="000000"/>
            <w:left w:val="dotted" w:sz="4" w:space="0" w:color="000000"/>
            <w:bottom w:val="nil"/>
            <w:right w:val="nil"/>
          </w:tcBorders>
          <w:shd w:val="clear" w:color="auto" w:fill="auto"/>
        </w:tcPr>
        <w:p w14:paraId="37003513" w14:textId="77777777" w:rsidR="00B83802" w:rsidRDefault="00B83802">
          <w:pPr>
            <w:pStyle w:val="Sinespaciado1"/>
            <w:jc w:val="center"/>
            <w:rPr>
              <w:rFonts w:ascii="Arial" w:eastAsia="Arial" w:hAnsi="Arial"/>
              <w:sz w:val="20"/>
            </w:rPr>
          </w:pPr>
        </w:p>
      </w:tc>
      <w:tc>
        <w:tcPr>
          <w:tcW w:w="2975" w:type="dxa"/>
          <w:tcBorders>
            <w:top w:val="dotted" w:sz="4" w:space="0" w:color="000000"/>
            <w:left w:val="nil"/>
            <w:bottom w:val="nil"/>
            <w:right w:val="dotted" w:sz="4" w:space="0" w:color="000000"/>
          </w:tcBorders>
          <w:shd w:val="clear" w:color="auto" w:fill="auto"/>
        </w:tcPr>
        <w:p w14:paraId="1E00EC53" w14:textId="77777777" w:rsidR="00B83802" w:rsidRDefault="00451A31">
          <w:pPr>
            <w:pStyle w:val="Sinespaciado1"/>
            <w:jc w:val="both"/>
            <w:rPr>
              <w:rFonts w:ascii="Bar-Code 39" w:eastAsia="Bar-Code 39" w:hAnsi="Bar-Code 39"/>
              <w:sz w:val="28"/>
            </w:rPr>
          </w:pPr>
          <w:r>
            <w:rPr>
              <w:rFonts w:ascii="Arial" w:eastAsia="Arial" w:hAnsi="Arial"/>
              <w:sz w:val="18"/>
            </w:rPr>
            <w:t>R3DkODE-39</w:t>
          </w:r>
        </w:p>
      </w:tc>
    </w:tr>
    <w:tr w:rsidR="00B83802" w:rsidRPr="005A187C" w14:paraId="6D6D80EE" w14:textId="77777777">
      <w:trPr>
        <w:trHeight w:val="1100"/>
        <w:jc w:val="right"/>
      </w:trPr>
      <w:tc>
        <w:tcPr>
          <w:tcW w:w="5026" w:type="dxa"/>
          <w:gridSpan w:val="2"/>
          <w:tcBorders>
            <w:top w:val="nil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auto"/>
        </w:tcPr>
        <w:p w14:paraId="040E3FE2" w14:textId="77777777" w:rsidR="00B83802" w:rsidRDefault="00451A31">
          <w:pPr>
            <w:pStyle w:val="Sinespaciado1"/>
            <w:jc w:val="both"/>
            <w:rPr>
              <w:rFonts w:ascii="Arial" w:eastAsia="Arial" w:hAnsi="Arial"/>
              <w:sz w:val="14"/>
              <w:lang w:val="en-US"/>
            </w:rPr>
          </w:pPr>
          <w:r>
            <w:rPr>
              <w:rFonts w:ascii="Arial" w:eastAsia="Arial" w:hAnsi="Arial"/>
              <w:sz w:val="14"/>
              <w:lang w:val="en-US"/>
            </w:rPr>
            <w:t>R4D1C4D0_1</w:t>
          </w:r>
        </w:p>
        <w:p w14:paraId="31B56A3D" w14:textId="77777777" w:rsidR="00B83802" w:rsidRDefault="00451A31">
          <w:pPr>
            <w:pStyle w:val="Sinespaciado1"/>
            <w:jc w:val="both"/>
            <w:rPr>
              <w:rFonts w:ascii="Arial" w:eastAsia="Arial" w:hAnsi="Arial"/>
              <w:sz w:val="14"/>
              <w:lang w:val="en-US"/>
            </w:rPr>
          </w:pPr>
          <w:r>
            <w:rPr>
              <w:rFonts w:ascii="Arial" w:eastAsia="Arial" w:hAnsi="Arial"/>
              <w:sz w:val="14"/>
              <w:lang w:val="en-US"/>
            </w:rPr>
            <w:t>R4D1C4D0_2</w:t>
          </w:r>
        </w:p>
        <w:p w14:paraId="17B9754A" w14:textId="77777777" w:rsidR="00B83802" w:rsidRDefault="00451A31">
          <w:pPr>
            <w:pStyle w:val="Sinespaciado1"/>
            <w:jc w:val="both"/>
            <w:rPr>
              <w:rFonts w:ascii="Arial" w:eastAsia="Arial" w:hAnsi="Arial"/>
              <w:sz w:val="14"/>
              <w:lang w:val="en-US"/>
            </w:rPr>
          </w:pPr>
          <w:r>
            <w:rPr>
              <w:rFonts w:ascii="Arial" w:eastAsia="Arial" w:hAnsi="Arial"/>
              <w:sz w:val="14"/>
              <w:lang w:val="en-US"/>
            </w:rPr>
            <w:t>R4D1C4D0_3</w:t>
          </w:r>
        </w:p>
        <w:p w14:paraId="40D5442A" w14:textId="77777777" w:rsidR="00B83802" w:rsidRDefault="00451A31">
          <w:pPr>
            <w:pStyle w:val="Sinespaciado1"/>
            <w:jc w:val="both"/>
            <w:rPr>
              <w:rFonts w:ascii="Arial" w:eastAsia="Arial" w:hAnsi="Arial"/>
              <w:sz w:val="14"/>
              <w:lang w:val="en-US"/>
            </w:rPr>
          </w:pPr>
          <w:r>
            <w:rPr>
              <w:rFonts w:ascii="Arial" w:eastAsia="Arial" w:hAnsi="Arial"/>
              <w:sz w:val="14"/>
              <w:lang w:val="en-US"/>
            </w:rPr>
            <w:t>R4D1C4D0_4</w:t>
          </w:r>
        </w:p>
        <w:p w14:paraId="50A4E682" w14:textId="77777777" w:rsidR="00B83802" w:rsidRDefault="00451A31">
          <w:pPr>
            <w:pStyle w:val="Sinespaciado1"/>
            <w:jc w:val="both"/>
            <w:rPr>
              <w:rFonts w:ascii="Arial" w:eastAsia="Arial" w:hAnsi="Arial"/>
              <w:sz w:val="14"/>
              <w:lang w:val="en-US"/>
            </w:rPr>
          </w:pPr>
          <w:r>
            <w:rPr>
              <w:rFonts w:ascii="Arial" w:eastAsia="Arial" w:hAnsi="Arial"/>
              <w:sz w:val="14"/>
              <w:lang w:val="en-US"/>
            </w:rPr>
            <w:t>R4D1C4D0_5</w:t>
          </w:r>
        </w:p>
        <w:p w14:paraId="612BEE9A" w14:textId="77777777" w:rsidR="00B83802" w:rsidRDefault="00B83802">
          <w:pPr>
            <w:pStyle w:val="Sinespaciado1"/>
            <w:jc w:val="both"/>
            <w:rPr>
              <w:rFonts w:ascii="Arial" w:eastAsia="Arial" w:hAnsi="Arial"/>
              <w:sz w:val="14"/>
              <w:lang w:val="en-US"/>
            </w:rPr>
          </w:pPr>
        </w:p>
      </w:tc>
    </w:tr>
  </w:tbl>
  <w:p w14:paraId="1CF81563" w14:textId="77777777" w:rsidR="00B83802" w:rsidRDefault="00451A31">
    <w:pPr>
      <w:pStyle w:val="Encabezado1"/>
      <w:jc w:val="center"/>
      <w:rPr>
        <w:rFonts w:ascii="Arial" w:eastAsia="Arial" w:hAnsi="Arial"/>
        <w:b/>
        <w:sz w:val="22"/>
        <w:lang w:val="en-US"/>
      </w:rPr>
    </w:pPr>
    <w:r>
      <w:rPr>
        <w:noProof/>
        <w:lang w:val="es-CO"/>
      </w:rPr>
      <w:drawing>
        <wp:anchor distT="0" distB="0" distL="114300" distR="114300" simplePos="0" relativeHeight="251658752" behindDoc="0" locked="0" layoutInCell="1" allowOverlap="1" wp14:anchorId="05B38A4D" wp14:editId="53CD5721">
          <wp:simplePos x="0" y="0"/>
          <wp:positionH relativeFrom="column">
            <wp:posOffset>-269240</wp:posOffset>
          </wp:positionH>
          <wp:positionV relativeFrom="paragraph">
            <wp:posOffset>-1090930</wp:posOffset>
          </wp:positionV>
          <wp:extent cx="2863215" cy="42227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3215" cy="422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59323B" w14:textId="77777777" w:rsidR="00B83802" w:rsidRDefault="00451A31">
    <w:pPr>
      <w:pStyle w:val="Encabezado1"/>
      <w:jc w:val="center"/>
      <w:rPr>
        <w:rFonts w:ascii="Tahoma" w:eastAsia="Tahoma" w:hAnsi="Tahoma"/>
        <w:b/>
        <w:sz w:val="22"/>
      </w:rPr>
    </w:pPr>
    <w:bookmarkStart w:id="4" w:name="_Hlk528059142"/>
    <w:r>
      <w:rPr>
        <w:rFonts w:ascii="Arial" w:eastAsia="Arial" w:hAnsi="Arial"/>
        <w:b/>
        <w:sz w:val="22"/>
      </w:rPr>
      <w:t>RESOLUCIÓN No.                    DE</w:t>
    </w:r>
  </w:p>
  <w:p w14:paraId="1CE8F546" w14:textId="77777777" w:rsidR="00B83802" w:rsidRDefault="00B83802">
    <w:pPr>
      <w:pStyle w:val="Encabezado1"/>
      <w:rPr>
        <w:rFonts w:ascii="Arial" w:eastAsia="Arial" w:hAnsi="Arial"/>
        <w:b/>
        <w:sz w:val="22"/>
      </w:rPr>
    </w:pPr>
  </w:p>
  <w:p w14:paraId="30165160" w14:textId="77777777" w:rsidR="00B83802" w:rsidRDefault="00451A31">
    <w:pPr>
      <w:jc w:val="center"/>
      <w:rPr>
        <w:rFonts w:ascii="Arial" w:eastAsia="Arial" w:hAnsi="Arial"/>
        <w:i/>
        <w:sz w:val="22"/>
      </w:rPr>
    </w:pPr>
    <w:r>
      <w:rPr>
        <w:rFonts w:ascii="Arial" w:eastAsia="Arial" w:hAnsi="Arial"/>
        <w:i/>
        <w:sz w:val="22"/>
      </w:rPr>
      <w:t>“Por la cual se liquidan las regalías definitivas generadas por la explotación de hidrocarburos durante los meses de julio, agosto y septiembre de 2019 a la compañía ONGC VIDESH LIMITED SUCURSAL COLOMBIANA”</w:t>
    </w:r>
  </w:p>
  <w:bookmarkEnd w:id="4"/>
  <w:p w14:paraId="633CACA2" w14:textId="77777777" w:rsidR="00B83802" w:rsidRDefault="00B83802">
    <w:pPr>
      <w:jc w:val="center"/>
      <w:rPr>
        <w:rFonts w:ascii="Arial" w:eastAsia="Arial" w:hAnsi="Arial"/>
        <w:i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040A2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6CC7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F6EC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EE3A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36874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E4A6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980B0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C40E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F2FD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05CAC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E3"/>
    <w:multiLevelType w:val="multilevel"/>
    <w:tmpl w:val="02CD5D4C"/>
    <w:lvl w:ilvl="0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Symbol" w:eastAsia="Symbol" w:hAnsi="Symbol"/>
      </w:rPr>
    </w:lvl>
    <w:lvl w:ilvl="1">
      <w:start w:val="1"/>
      <w:numFmt w:val="bullet"/>
      <w:lvlText w:val=""/>
      <w:lvlJc w:val="left"/>
      <w:pPr>
        <w:tabs>
          <w:tab w:val="left" w:pos="720"/>
        </w:tabs>
        <w:ind w:left="1080" w:hanging="360"/>
      </w:pPr>
      <w:rPr>
        <w:rFonts w:ascii="Symbol" w:eastAsia="Symbol" w:hAnsi="Symbol"/>
      </w:rPr>
    </w:lvl>
    <w:lvl w:ilvl="2">
      <w:start w:val="1"/>
      <w:numFmt w:val="bullet"/>
      <w:lvlText w:val="o"/>
      <w:lvlJc w:val="left"/>
      <w:pPr>
        <w:tabs>
          <w:tab w:val="left" w:pos="1440"/>
        </w:tabs>
        <w:ind w:left="1800" w:hanging="360"/>
      </w:pPr>
      <w:rPr>
        <w:rFonts w:ascii="Courier New" w:eastAsia="Courier New" w:hAnsi="Courier New"/>
      </w:rPr>
    </w:lvl>
    <w:lvl w:ilvl="3">
      <w:start w:val="1"/>
      <w:numFmt w:val="bullet"/>
      <w:lvlText w:val=""/>
      <w:lvlJc w:val="left"/>
      <w:pPr>
        <w:tabs>
          <w:tab w:val="left" w:pos="2160"/>
        </w:tabs>
        <w:ind w:left="2520" w:hanging="360"/>
      </w:pPr>
      <w:rPr>
        <w:rFonts w:ascii="Wingdings" w:eastAsia="Wingdings" w:hAnsi="Wingdings"/>
      </w:rPr>
    </w:lvl>
    <w:lvl w:ilvl="4">
      <w:start w:val="1"/>
      <w:numFmt w:val="bullet"/>
      <w:lvlText w:val=""/>
      <w:lvlJc w:val="left"/>
      <w:pPr>
        <w:tabs>
          <w:tab w:val="left" w:pos="2880"/>
        </w:tabs>
        <w:ind w:left="3240" w:hanging="360"/>
      </w:pPr>
      <w:rPr>
        <w:rFonts w:ascii="Wingdings" w:eastAsia="Wingdings" w:hAnsi="Wingdings"/>
      </w:rPr>
    </w:lvl>
    <w:lvl w:ilvl="5">
      <w:start w:val="1"/>
      <w:numFmt w:val="bullet"/>
      <w:lvlText w:val=""/>
      <w:lvlJc w:val="left"/>
      <w:pPr>
        <w:tabs>
          <w:tab w:val="left" w:pos="3600"/>
        </w:tabs>
        <w:ind w:left="3960" w:hanging="360"/>
      </w:pPr>
      <w:rPr>
        <w:rFonts w:ascii="Symbol" w:eastAsia="Symbol" w:hAnsi="Symbol"/>
      </w:rPr>
    </w:lvl>
    <w:lvl w:ilvl="6">
      <w:start w:val="1"/>
      <w:numFmt w:val="bullet"/>
      <w:lvlText w:val="o"/>
      <w:lvlJc w:val="left"/>
      <w:pPr>
        <w:tabs>
          <w:tab w:val="left" w:pos="4320"/>
        </w:tabs>
        <w:ind w:left="4680" w:hanging="360"/>
      </w:pPr>
      <w:rPr>
        <w:rFonts w:ascii="Courier New" w:eastAsia="Courier New" w:hAnsi="Courier New"/>
      </w:rPr>
    </w:lvl>
    <w:lvl w:ilvl="7">
      <w:start w:val="1"/>
      <w:numFmt w:val="bullet"/>
      <w:lvlText w:val=""/>
      <w:lvlJc w:val="left"/>
      <w:pPr>
        <w:tabs>
          <w:tab w:val="left" w:pos="5040"/>
        </w:tabs>
        <w:ind w:left="5400" w:hanging="360"/>
      </w:pPr>
      <w:rPr>
        <w:rFonts w:ascii="Wingdings" w:eastAsia="Wingdings" w:hAnsi="Wingdings"/>
      </w:rPr>
    </w:lvl>
    <w:lvl w:ilvl="8">
      <w:start w:val="1"/>
      <w:numFmt w:val="bullet"/>
      <w:lvlText w:val=""/>
      <w:lvlJc w:val="left"/>
      <w:pPr>
        <w:tabs>
          <w:tab w:val="left" w:pos="5760"/>
        </w:tabs>
        <w:ind w:left="6120" w:hanging="360"/>
      </w:pPr>
      <w:rPr>
        <w:rFonts w:ascii="Wingdings" w:eastAsia="Wingdings" w:hAnsi="Wingdings"/>
      </w:rPr>
    </w:lvl>
  </w:abstractNum>
  <w:abstractNum w:abstractNumId="11" w15:restartNumberingAfterBreak="0">
    <w:nsid w:val="095063E8"/>
    <w:multiLevelType w:val="multilevel"/>
    <w:tmpl w:val="0247E086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/>
      </w:rPr>
    </w:lvl>
  </w:abstractNum>
  <w:abstractNum w:abstractNumId="12" w15:restartNumberingAfterBreak="0">
    <w:nsid w:val="3899761B"/>
    <w:multiLevelType w:val="multilevel"/>
    <w:tmpl w:val="017F2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A31"/>
    <w:rsid w:val="00061AE5"/>
    <w:rsid w:val="000E2A36"/>
    <w:rsid w:val="00115BB2"/>
    <w:rsid w:val="00241E1E"/>
    <w:rsid w:val="004114AF"/>
    <w:rsid w:val="0044149F"/>
    <w:rsid w:val="00451A31"/>
    <w:rsid w:val="00477285"/>
    <w:rsid w:val="0048775F"/>
    <w:rsid w:val="004D409D"/>
    <w:rsid w:val="00526E90"/>
    <w:rsid w:val="0054065F"/>
    <w:rsid w:val="0054217F"/>
    <w:rsid w:val="00557778"/>
    <w:rsid w:val="005A187C"/>
    <w:rsid w:val="005B4476"/>
    <w:rsid w:val="006A3294"/>
    <w:rsid w:val="006A6D2E"/>
    <w:rsid w:val="0074718C"/>
    <w:rsid w:val="00781212"/>
    <w:rsid w:val="007D13AA"/>
    <w:rsid w:val="007F64A2"/>
    <w:rsid w:val="008C6BAD"/>
    <w:rsid w:val="009C0CAA"/>
    <w:rsid w:val="00A35D44"/>
    <w:rsid w:val="00A8636C"/>
    <w:rsid w:val="00B57745"/>
    <w:rsid w:val="00B83802"/>
    <w:rsid w:val="00BB10B4"/>
    <w:rsid w:val="00BD111B"/>
    <w:rsid w:val="00CC5BCF"/>
    <w:rsid w:val="00CD52BD"/>
    <w:rsid w:val="00DA550D"/>
    <w:rsid w:val="00DB5196"/>
    <w:rsid w:val="00E44BBB"/>
    <w:rsid w:val="00E83630"/>
    <w:rsid w:val="00E901EA"/>
    <w:rsid w:val="00EF0991"/>
    <w:rsid w:val="00F0257D"/>
    <w:rsid w:val="00F43847"/>
    <w:rsid w:val="00FA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66D17B4D"/>
  <w15:chartTrackingRefBased/>
  <w15:docId w15:val="{8531A639-D600-4062-A61C-363F229F4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9" w:qFormat="1"/>
    <w:lsdException w:name="footnote text" w:uiPriority="9" w:qFormat="1"/>
    <w:lsdException w:name="annotation text" w:uiPriority="9" w:qFormat="1"/>
    <w:lsdException w:name="header" w:uiPriority="9" w:qFormat="1"/>
    <w:lsdException w:name="footer" w:uiPriority="9" w:qFormat="1"/>
    <w:lsdException w:name="index heading" w:uiPriority="9" w:qFormat="1"/>
    <w:lsdException w:name="caption" w:semiHidden="1" w:uiPriority="9" w:unhideWhenUsed="1" w:qFormat="1"/>
    <w:lsdException w:name="table of figures" w:uiPriority="9" w:qFormat="1"/>
    <w:lsdException w:name="envelope address" w:uiPriority="9" w:qFormat="1"/>
    <w:lsdException w:name="envelope return" w:uiPriority="9" w:qFormat="1"/>
    <w:lsdException w:name="footnote reference" w:uiPriority="9" w:qFormat="1"/>
    <w:lsdException w:name="annotation reference" w:uiPriority="9" w:qFormat="1"/>
    <w:lsdException w:name="line number" w:uiPriority="9" w:qFormat="1"/>
    <w:lsdException w:name="page number" w:uiPriority="9" w:qFormat="1"/>
    <w:lsdException w:name="endnote reference" w:uiPriority="9" w:qFormat="1"/>
    <w:lsdException w:name="endnote text" w:uiPriority="9" w:qFormat="1"/>
    <w:lsdException w:name="table of authorities" w:uiPriority="9" w:qFormat="1"/>
    <w:lsdException w:name="macro" w:uiPriority="9" w:qFormat="1"/>
    <w:lsdException w:name="toa heading" w:uiPriority="9" w:qFormat="1"/>
    <w:lsdException w:name="List" w:uiPriority="9" w:qFormat="1"/>
    <w:lsdException w:name="List Bullet" w:uiPriority="9" w:qFormat="1"/>
    <w:lsdException w:name="List Number" w:uiPriority="9" w:qFormat="1"/>
    <w:lsdException w:name="List 2" w:uiPriority="9" w:qFormat="1"/>
    <w:lsdException w:name="List 3" w:uiPriority="9" w:qFormat="1"/>
    <w:lsdException w:name="List 4" w:uiPriority="9" w:qFormat="1"/>
    <w:lsdException w:name="List 5" w:uiPriority="9" w:qFormat="1"/>
    <w:lsdException w:name="List Bullet 2" w:uiPriority="9" w:qFormat="1"/>
    <w:lsdException w:name="List Bullet 3" w:uiPriority="9" w:qFormat="1"/>
    <w:lsdException w:name="List Bullet 4" w:uiPriority="9" w:qFormat="1"/>
    <w:lsdException w:name="List Bullet 5" w:uiPriority="9" w:qFormat="1"/>
    <w:lsdException w:name="List Number 2" w:uiPriority="9" w:qFormat="1"/>
    <w:lsdException w:name="List Number 3" w:uiPriority="9" w:qFormat="1"/>
    <w:lsdException w:name="List Number 4" w:uiPriority="9" w:qFormat="1"/>
    <w:lsdException w:name="List Number 5" w:uiPriority="9" w:qFormat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pBdr>
        <w:top w:val="nil"/>
        <w:left w:val="nil"/>
        <w:bottom w:val="nil"/>
        <w:right w:val="nil"/>
      </w:pBdr>
    </w:pPr>
    <w:rPr>
      <w:rFonts w:ascii="Times New Roman" w:eastAsia="Times New Roman" w:hAnsi="Times New Roman"/>
      <w:sz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ar"/>
    <w:qFormat/>
    <w:pPr>
      <w:keepNext/>
      <w:jc w:val="both"/>
      <w:outlineLvl w:val="0"/>
    </w:pPr>
    <w:rPr>
      <w:b/>
      <w:sz w:val="22"/>
    </w:rPr>
  </w:style>
  <w:style w:type="paragraph" w:customStyle="1" w:styleId="Ttulo21">
    <w:name w:val="Título 21"/>
    <w:basedOn w:val="Normal"/>
    <w:next w:val="Normal"/>
    <w:link w:val="Ttulo2Car"/>
    <w:qFormat/>
    <w:pPr>
      <w:keepNext/>
      <w:spacing w:before="240" w:after="60"/>
      <w:outlineLvl w:val="1"/>
    </w:pPr>
    <w:rPr>
      <w:rFonts w:ascii="Arial" w:eastAsia="Arial" w:hAnsi="Arial"/>
      <w:b/>
      <w:i/>
      <w:sz w:val="28"/>
    </w:rPr>
  </w:style>
  <w:style w:type="paragraph" w:customStyle="1" w:styleId="Prrafodelista1">
    <w:name w:val="Párrafo de lista1"/>
    <w:basedOn w:val="Normal"/>
    <w:next w:val="Normal"/>
    <w:qFormat/>
    <w:pPr>
      <w:ind w:left="708"/>
    </w:pPr>
  </w:style>
  <w:style w:type="paragraph" w:customStyle="1" w:styleId="Encabezado1">
    <w:name w:val="Encabezado1"/>
    <w:basedOn w:val="Normal"/>
    <w:next w:val="Normal"/>
    <w:link w:val="EncabezadoCar"/>
    <w:pPr>
      <w:tabs>
        <w:tab w:val="center" w:pos="4252"/>
        <w:tab w:val="right" w:pos="8504"/>
      </w:tabs>
    </w:pPr>
  </w:style>
  <w:style w:type="paragraph" w:customStyle="1" w:styleId="Piedepgina1">
    <w:name w:val="Pie de página1"/>
    <w:basedOn w:val="Normal"/>
    <w:next w:val="Normal"/>
    <w:link w:val="PiedepginaCar"/>
    <w:pPr>
      <w:tabs>
        <w:tab w:val="center" w:pos="4252"/>
        <w:tab w:val="right" w:pos="8504"/>
      </w:tabs>
    </w:pPr>
  </w:style>
  <w:style w:type="paragraph" w:customStyle="1" w:styleId="Textoindependiente1">
    <w:name w:val="Texto independiente1"/>
    <w:basedOn w:val="Normal"/>
    <w:next w:val="Normal"/>
    <w:link w:val="TextoindependienteCar"/>
    <w:pPr>
      <w:jc w:val="both"/>
    </w:pPr>
    <w:rPr>
      <w:rFonts w:ascii="Tahoma" w:eastAsia="Tahoma" w:hAnsi="Tahoma"/>
    </w:rPr>
  </w:style>
  <w:style w:type="paragraph" w:customStyle="1" w:styleId="Textodeglobo1">
    <w:name w:val="Texto de globo1"/>
    <w:basedOn w:val="Normal"/>
    <w:next w:val="Normal"/>
    <w:link w:val="TextodegloboCar"/>
    <w:rPr>
      <w:rFonts w:ascii="Segoe UI" w:eastAsia="Segoe UI" w:hAnsi="Segoe UI"/>
      <w:sz w:val="18"/>
    </w:rPr>
  </w:style>
  <w:style w:type="paragraph" w:styleId="NormalWeb">
    <w:name w:val="Normal (Web)"/>
    <w:basedOn w:val="Normal"/>
    <w:next w:val="Normal"/>
    <w:uiPriority w:val="99"/>
    <w:pPr>
      <w:spacing w:before="100" w:beforeAutospacing="1" w:after="100" w:afterAutospacing="1"/>
    </w:pPr>
    <w:rPr>
      <w:lang w:val="es-CO"/>
    </w:rPr>
  </w:style>
  <w:style w:type="paragraph" w:customStyle="1" w:styleId="Textoindependiente21">
    <w:name w:val="Texto independiente 21"/>
    <w:basedOn w:val="Normal"/>
    <w:next w:val="Normal"/>
    <w:link w:val="Textoindependiente2Car"/>
    <w:pPr>
      <w:spacing w:after="120" w:line="480" w:lineRule="auto"/>
    </w:pPr>
  </w:style>
  <w:style w:type="paragraph" w:customStyle="1" w:styleId="Textonotapie1">
    <w:name w:val="Texto nota pie1"/>
    <w:basedOn w:val="Normal"/>
    <w:next w:val="Normal"/>
    <w:link w:val="TextonotapieCar"/>
    <w:rPr>
      <w:sz w:val="20"/>
    </w:rPr>
  </w:style>
  <w:style w:type="paragraph" w:customStyle="1" w:styleId="Sinespaciado1">
    <w:name w:val="Sin espaciado1"/>
    <w:next w:val="Normal"/>
    <w:qFormat/>
    <w:pPr>
      <w:pBdr>
        <w:top w:val="nil"/>
        <w:left w:val="nil"/>
        <w:bottom w:val="nil"/>
        <w:right w:val="nil"/>
      </w:pBdr>
    </w:pPr>
    <w:rPr>
      <w:rFonts w:ascii="Times New Roman" w:eastAsia="Times New Roman" w:hAnsi="Times New Roman"/>
      <w:color w:val="000000"/>
      <w:sz w:val="24"/>
    </w:rPr>
  </w:style>
  <w:style w:type="paragraph" w:customStyle="1" w:styleId="Standard">
    <w:name w:val="Standard"/>
    <w:next w:val="Normal"/>
    <w:pPr>
      <w:pBdr>
        <w:top w:val="nil"/>
        <w:left w:val="nil"/>
        <w:bottom w:val="nil"/>
        <w:right w:val="nil"/>
      </w:pBdr>
    </w:pPr>
    <w:rPr>
      <w:rFonts w:ascii="Times New Roman" w:eastAsia="Times New Roman" w:hAnsi="Times New Roman"/>
      <w:color w:val="000000"/>
      <w:sz w:val="19"/>
    </w:rPr>
  </w:style>
  <w:style w:type="character" w:customStyle="1" w:styleId="Nmerodelnea1">
    <w:name w:val="Número de línea1"/>
    <w:basedOn w:val="Fuentedeprrafopredeter"/>
    <w:rPr>
      <w:sz w:val="24"/>
    </w:rPr>
  </w:style>
  <w:style w:type="character" w:customStyle="1" w:styleId="Hipervnculo1">
    <w:name w:val="Hipervínculo1"/>
    <w:basedOn w:val="Fuentedeprrafopredeter"/>
    <w:rPr>
      <w:strike w:val="0"/>
      <w:dstrike w:val="0"/>
      <w:color w:val="0073FF"/>
      <w:sz w:val="24"/>
      <w:u w:val="none"/>
    </w:rPr>
  </w:style>
  <w:style w:type="character" w:customStyle="1" w:styleId="Nmerodelnea2">
    <w:name w:val="Número de línea2"/>
    <w:basedOn w:val="Fuentedeprrafopredeter"/>
    <w:rPr>
      <w:sz w:val="24"/>
    </w:rPr>
  </w:style>
  <w:style w:type="character" w:customStyle="1" w:styleId="Ttulo1Car">
    <w:name w:val="Título 1 Car"/>
    <w:link w:val="Ttulo11"/>
    <w:rPr>
      <w:b/>
      <w:sz w:val="22"/>
    </w:rPr>
  </w:style>
  <w:style w:type="character" w:customStyle="1" w:styleId="Ttulo2Car">
    <w:name w:val="Título 2 Car"/>
    <w:link w:val="Ttulo21"/>
    <w:rPr>
      <w:rFonts w:ascii="Arial" w:eastAsia="Arial" w:hAnsi="Arial"/>
      <w:b/>
      <w:i/>
      <w:sz w:val="28"/>
    </w:rPr>
  </w:style>
  <w:style w:type="character" w:customStyle="1" w:styleId="EncabezadoCar">
    <w:name w:val="Encabezado Car"/>
    <w:link w:val="Encabezado1"/>
  </w:style>
  <w:style w:type="character" w:customStyle="1" w:styleId="Nmerodepgina1">
    <w:name w:val="Número de página1"/>
    <w:basedOn w:val="Fuentedeprrafopredeter"/>
    <w:rPr>
      <w:sz w:val="24"/>
    </w:rPr>
  </w:style>
  <w:style w:type="character" w:customStyle="1" w:styleId="PiedepginaCar">
    <w:name w:val="Pie de página Car"/>
    <w:link w:val="Piedepgina1"/>
  </w:style>
  <w:style w:type="character" w:customStyle="1" w:styleId="TextoindependienteCar">
    <w:name w:val="Texto independiente Car"/>
    <w:link w:val="Textoindependiente1"/>
    <w:rPr>
      <w:rFonts w:ascii="Tahoma" w:eastAsia="Tahoma" w:hAnsi="Tahoma"/>
    </w:rPr>
  </w:style>
  <w:style w:type="character" w:customStyle="1" w:styleId="TextodegloboCar">
    <w:name w:val="Texto de globo Car"/>
    <w:link w:val="Textodeglobo1"/>
    <w:rPr>
      <w:rFonts w:ascii="Segoe UI" w:eastAsia="Segoe UI" w:hAnsi="Segoe UI"/>
      <w:sz w:val="18"/>
    </w:rPr>
  </w:style>
  <w:style w:type="character" w:customStyle="1" w:styleId="Textoennegrita1">
    <w:name w:val="Texto en negrita1"/>
    <w:basedOn w:val="Fuentedeprrafopredeter"/>
    <w:qFormat/>
    <w:rPr>
      <w:b/>
      <w:sz w:val="24"/>
    </w:rPr>
  </w:style>
  <w:style w:type="character" w:customStyle="1" w:styleId="Mencinsinresolver1">
    <w:name w:val="Mención sin resolver1"/>
    <w:basedOn w:val="Fuentedeprrafopredeter"/>
    <w:rPr>
      <w:color w:val="605E5C"/>
      <w:sz w:val="24"/>
      <w:shd w:val="clear" w:color="auto" w:fill="E1DFDD"/>
    </w:rPr>
  </w:style>
  <w:style w:type="character" w:customStyle="1" w:styleId="Textoindependiente2Car">
    <w:name w:val="Texto independiente 2 Car"/>
    <w:basedOn w:val="Fuentedeprrafopredeter"/>
    <w:link w:val="Textoindependiente21"/>
    <w:rPr>
      <w:sz w:val="24"/>
    </w:rPr>
  </w:style>
  <w:style w:type="character" w:customStyle="1" w:styleId="TextonotapieCar">
    <w:name w:val="Texto nota pie Car"/>
    <w:basedOn w:val="Fuentedeprrafopredeter"/>
    <w:link w:val="Textonotapie1"/>
    <w:rPr>
      <w:sz w:val="20"/>
    </w:rPr>
  </w:style>
  <w:style w:type="character" w:customStyle="1" w:styleId="Refdenotaalpie1">
    <w:name w:val="Ref. de nota al pie1"/>
    <w:basedOn w:val="Fuentedeprrafopredeter"/>
    <w:rPr>
      <w:sz w:val="24"/>
      <w:vertAlign w:val="superscript"/>
    </w:rPr>
  </w:style>
  <w:style w:type="character" w:customStyle="1" w:styleId="Hipervnculovisitado1">
    <w:name w:val="Hipervínculo visitado1"/>
    <w:basedOn w:val="Fuentedeprrafopredeter"/>
    <w:rPr>
      <w:color w:val="800080"/>
      <w:sz w:val="24"/>
      <w:u w:val="single"/>
    </w:rPr>
  </w:style>
  <w:style w:type="table" w:customStyle="1" w:styleId="Tablanormal1">
    <w:name w:val="Tabla normal1"/>
    <w:rPr>
      <w:sz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bsica11">
    <w:name w:val="Tabla básica 11"/>
    <w:basedOn w:val="Tablanormal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">
    <w:name w:val="Tabla con cuadrícula1"/>
    <w:basedOn w:val="Tablanormal1"/>
    <w:rPr>
      <w:rFonts w:ascii="Times New Roman" w:eastAsia="Times New Roman" w:hAnsi="Times New Roman"/>
      <w:color w:val="000000"/>
      <w:sz w:val="19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1"/>
    <w:uiPriority w:val="99"/>
    <w:semiHidden/>
    <w:unhideWhenUsed/>
    <w:rsid w:val="00FA7C57"/>
    <w:rPr>
      <w:rFonts w:ascii="Segoe UI" w:hAnsi="Segoe UI" w:cs="Segoe UI"/>
      <w:sz w:val="18"/>
      <w:szCs w:val="18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FA7C57"/>
    <w:rPr>
      <w:rFonts w:ascii="Segoe UI" w:eastAsia="Times New Roman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6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h.gov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1047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maria.rengifo</dc:creator>
  <cp:keywords/>
  <cp:lastModifiedBy>Cuenta Microsoft</cp:lastModifiedBy>
  <cp:revision>2</cp:revision>
  <cp:lastPrinted>2019-09-27T16:44:00Z</cp:lastPrinted>
  <dcterms:created xsi:type="dcterms:W3CDTF">2023-10-13T22:45:00Z</dcterms:created>
  <dcterms:modified xsi:type="dcterms:W3CDTF">2023-10-13T22:45:00Z</dcterms:modified>
</cp:coreProperties>
</file>