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9BBB" w14:textId="77777777" w:rsidR="00247B44" w:rsidRDefault="00247B44" w:rsidP="00740E4B">
      <w:pPr>
        <w:jc w:val="center"/>
        <w:rPr>
          <w:rFonts w:eastAsiaTheme="majorEastAsia" w:cs="Arial"/>
          <w:b/>
          <w:color w:val="auto"/>
          <w:sz w:val="28"/>
          <w:szCs w:val="32"/>
        </w:rPr>
      </w:pPr>
    </w:p>
    <w:p w14:paraId="5B9E3C09" w14:textId="2869A592" w:rsidR="00247B44" w:rsidRPr="003B60A3" w:rsidRDefault="00247B44" w:rsidP="00740E4B">
      <w:pPr>
        <w:jc w:val="center"/>
        <w:rPr>
          <w:rFonts w:cs="Arial"/>
          <w:color w:val="auto"/>
          <w:szCs w:val="22"/>
        </w:rPr>
      </w:pPr>
      <w:r w:rsidRPr="00BB019F">
        <w:rPr>
          <w:rFonts w:eastAsiaTheme="majorEastAsia" w:cs="Arial"/>
          <w:b/>
          <w:color w:val="auto"/>
          <w:sz w:val="28"/>
          <w:szCs w:val="32"/>
        </w:rPr>
        <w:t>LINEAMIENTOS</w:t>
      </w:r>
      <w:r w:rsidR="000B7449">
        <w:rPr>
          <w:rFonts w:eastAsiaTheme="majorEastAsia" w:cs="Arial"/>
          <w:b/>
          <w:color w:val="auto"/>
          <w:sz w:val="28"/>
          <w:szCs w:val="32"/>
        </w:rPr>
        <w:t xml:space="preserve"> TÉCNICOS PARA EVALUACIÓN DE</w:t>
      </w:r>
      <w:r w:rsidRPr="00BB019F">
        <w:rPr>
          <w:rFonts w:eastAsiaTheme="majorEastAsia" w:cs="Arial"/>
          <w:b/>
          <w:color w:val="auto"/>
          <w:sz w:val="28"/>
          <w:szCs w:val="32"/>
        </w:rPr>
        <w:t xml:space="preserve"> EFICIENCIA DE </w:t>
      </w:r>
      <w:r w:rsidR="000B7449">
        <w:rPr>
          <w:rFonts w:eastAsiaTheme="majorEastAsia" w:cs="Arial"/>
          <w:b/>
          <w:color w:val="auto"/>
          <w:sz w:val="28"/>
          <w:szCs w:val="32"/>
        </w:rPr>
        <w:t>COMBUSTIÓN EN</w:t>
      </w:r>
      <w:r w:rsidR="00142199">
        <w:rPr>
          <w:rFonts w:eastAsiaTheme="majorEastAsia" w:cs="Arial"/>
          <w:b/>
          <w:color w:val="auto"/>
          <w:sz w:val="28"/>
          <w:szCs w:val="32"/>
        </w:rPr>
        <w:t xml:space="preserve"> </w:t>
      </w:r>
      <w:r w:rsidRPr="00BB019F">
        <w:rPr>
          <w:rFonts w:eastAsiaTheme="majorEastAsia" w:cs="Arial"/>
          <w:b/>
          <w:color w:val="auto"/>
          <w:sz w:val="28"/>
          <w:szCs w:val="32"/>
        </w:rPr>
        <w:t>TEA PARA QUEMA DE GAS NATURAL EN</w:t>
      </w:r>
      <w:r w:rsidR="00142199">
        <w:rPr>
          <w:rFonts w:eastAsiaTheme="majorEastAsia" w:cs="Arial"/>
          <w:b/>
          <w:color w:val="auto"/>
          <w:sz w:val="28"/>
          <w:szCs w:val="32"/>
        </w:rPr>
        <w:t xml:space="preserve"> </w:t>
      </w:r>
      <w:r w:rsidR="000B7449">
        <w:rPr>
          <w:rFonts w:eastAsiaTheme="majorEastAsia" w:cs="Arial"/>
          <w:b/>
          <w:color w:val="auto"/>
          <w:sz w:val="28"/>
          <w:szCs w:val="32"/>
        </w:rPr>
        <w:t>EXPLORACIÓN Y PRODUCCIÓN</w:t>
      </w:r>
    </w:p>
    <w:p w14:paraId="6071FCB6" w14:textId="77777777" w:rsidR="00247B44" w:rsidRPr="003B60A3" w:rsidRDefault="00247B44" w:rsidP="00740E4B">
      <w:pPr>
        <w:jc w:val="both"/>
        <w:rPr>
          <w:rFonts w:cs="Arial"/>
          <w:b/>
          <w:color w:val="auto"/>
          <w:szCs w:val="22"/>
          <w:u w:val="single"/>
        </w:rPr>
      </w:pPr>
    </w:p>
    <w:p w14:paraId="0FF8AAFC" w14:textId="77777777" w:rsidR="00247B44" w:rsidRPr="003B60A3" w:rsidRDefault="00247B44" w:rsidP="00740E4B">
      <w:pPr>
        <w:jc w:val="both"/>
        <w:rPr>
          <w:rFonts w:cs="Arial"/>
          <w:b/>
          <w:color w:val="auto"/>
          <w:szCs w:val="22"/>
          <w:u w:val="single"/>
        </w:rPr>
      </w:pPr>
      <w:bookmarkStart w:id="0" w:name="_GoBack"/>
      <w:bookmarkEnd w:id="0"/>
    </w:p>
    <w:p w14:paraId="51C4495B" w14:textId="075E154A" w:rsidR="00247B44" w:rsidRDefault="00247B44" w:rsidP="00740E4B">
      <w:pPr>
        <w:jc w:val="both"/>
        <w:rPr>
          <w:rFonts w:cs="Arial"/>
          <w:b/>
          <w:color w:val="auto"/>
          <w:szCs w:val="22"/>
          <w:u w:val="single"/>
        </w:rPr>
      </w:pPr>
    </w:p>
    <w:p w14:paraId="032FB2DD" w14:textId="3F636956" w:rsidR="0092434D" w:rsidRDefault="0092434D" w:rsidP="00740E4B">
      <w:pPr>
        <w:jc w:val="both"/>
        <w:rPr>
          <w:rFonts w:cs="Arial"/>
          <w:b/>
          <w:color w:val="auto"/>
          <w:szCs w:val="22"/>
          <w:u w:val="single"/>
        </w:rPr>
      </w:pPr>
    </w:p>
    <w:p w14:paraId="4B8C86B4" w14:textId="63CCDD95" w:rsidR="0092434D" w:rsidRDefault="0092434D" w:rsidP="00740E4B">
      <w:pPr>
        <w:jc w:val="both"/>
        <w:rPr>
          <w:rFonts w:cs="Arial"/>
          <w:b/>
          <w:color w:val="auto"/>
          <w:szCs w:val="22"/>
          <w:u w:val="single"/>
        </w:rPr>
      </w:pPr>
    </w:p>
    <w:p w14:paraId="6F448205" w14:textId="455D990F" w:rsidR="0092434D" w:rsidRDefault="0092434D" w:rsidP="00740E4B">
      <w:pPr>
        <w:jc w:val="both"/>
        <w:rPr>
          <w:rFonts w:cs="Arial"/>
          <w:b/>
          <w:color w:val="auto"/>
          <w:szCs w:val="22"/>
          <w:u w:val="single"/>
        </w:rPr>
      </w:pPr>
    </w:p>
    <w:p w14:paraId="686A4252" w14:textId="32C5BEEC" w:rsidR="0092434D" w:rsidRDefault="0092434D" w:rsidP="00740E4B">
      <w:pPr>
        <w:jc w:val="both"/>
        <w:rPr>
          <w:rFonts w:cs="Arial"/>
          <w:b/>
          <w:color w:val="auto"/>
          <w:szCs w:val="22"/>
          <w:u w:val="single"/>
        </w:rPr>
      </w:pPr>
    </w:p>
    <w:p w14:paraId="607FD785" w14:textId="673A41D8" w:rsidR="0092434D" w:rsidRDefault="0092434D" w:rsidP="00740E4B">
      <w:pPr>
        <w:jc w:val="both"/>
        <w:rPr>
          <w:rFonts w:cs="Arial"/>
          <w:b/>
          <w:color w:val="auto"/>
          <w:szCs w:val="22"/>
          <w:u w:val="single"/>
        </w:rPr>
      </w:pPr>
    </w:p>
    <w:p w14:paraId="676971CA" w14:textId="40FCDAB4" w:rsidR="0092434D" w:rsidRDefault="0092434D" w:rsidP="00740E4B">
      <w:pPr>
        <w:jc w:val="both"/>
        <w:rPr>
          <w:rFonts w:cs="Arial"/>
          <w:b/>
          <w:color w:val="auto"/>
          <w:szCs w:val="22"/>
          <w:u w:val="single"/>
        </w:rPr>
      </w:pPr>
    </w:p>
    <w:p w14:paraId="3D254F20" w14:textId="3F5F000F" w:rsidR="0092434D" w:rsidRDefault="0092434D" w:rsidP="00740E4B">
      <w:pPr>
        <w:jc w:val="both"/>
        <w:rPr>
          <w:rFonts w:cs="Arial"/>
          <w:b/>
          <w:color w:val="auto"/>
          <w:szCs w:val="22"/>
          <w:u w:val="single"/>
        </w:rPr>
      </w:pPr>
    </w:p>
    <w:p w14:paraId="0C089166" w14:textId="3A922308" w:rsidR="0092434D" w:rsidRDefault="0092434D" w:rsidP="00740E4B">
      <w:pPr>
        <w:jc w:val="both"/>
        <w:rPr>
          <w:rFonts w:cs="Arial"/>
          <w:b/>
          <w:color w:val="auto"/>
          <w:szCs w:val="22"/>
          <w:u w:val="single"/>
        </w:rPr>
      </w:pPr>
    </w:p>
    <w:p w14:paraId="127D20EF" w14:textId="1356ACBF" w:rsidR="0092434D" w:rsidRDefault="0092434D" w:rsidP="00740E4B">
      <w:pPr>
        <w:jc w:val="both"/>
        <w:rPr>
          <w:rFonts w:cs="Arial"/>
          <w:b/>
          <w:color w:val="auto"/>
          <w:szCs w:val="22"/>
          <w:u w:val="single"/>
        </w:rPr>
      </w:pPr>
    </w:p>
    <w:p w14:paraId="72CCDF8C" w14:textId="7F2DCFC2" w:rsidR="0092434D" w:rsidRDefault="0092434D" w:rsidP="00740E4B">
      <w:pPr>
        <w:jc w:val="both"/>
        <w:rPr>
          <w:rFonts w:cs="Arial"/>
          <w:b/>
          <w:color w:val="auto"/>
          <w:szCs w:val="22"/>
          <w:u w:val="single"/>
        </w:rPr>
      </w:pPr>
    </w:p>
    <w:p w14:paraId="474F9050" w14:textId="1B884468" w:rsidR="0092434D" w:rsidRDefault="0092434D" w:rsidP="00740E4B">
      <w:pPr>
        <w:jc w:val="both"/>
        <w:rPr>
          <w:rFonts w:cs="Arial"/>
          <w:b/>
          <w:color w:val="auto"/>
          <w:szCs w:val="22"/>
          <w:u w:val="single"/>
        </w:rPr>
      </w:pPr>
    </w:p>
    <w:p w14:paraId="4F67CA94" w14:textId="55B5183B" w:rsidR="0092434D" w:rsidRDefault="0092434D" w:rsidP="00740E4B">
      <w:pPr>
        <w:jc w:val="both"/>
        <w:rPr>
          <w:rFonts w:cs="Arial"/>
          <w:b/>
          <w:color w:val="auto"/>
          <w:szCs w:val="22"/>
          <w:u w:val="single"/>
        </w:rPr>
      </w:pPr>
    </w:p>
    <w:p w14:paraId="59A983EB" w14:textId="1F6F7018" w:rsidR="0092434D" w:rsidRDefault="0092434D" w:rsidP="00740E4B">
      <w:pPr>
        <w:jc w:val="both"/>
        <w:rPr>
          <w:rFonts w:cs="Arial"/>
          <w:b/>
          <w:color w:val="auto"/>
          <w:szCs w:val="22"/>
          <w:u w:val="single"/>
        </w:rPr>
      </w:pPr>
    </w:p>
    <w:p w14:paraId="67AC081B" w14:textId="112C0856" w:rsidR="0092434D" w:rsidRDefault="0092434D" w:rsidP="00740E4B">
      <w:pPr>
        <w:jc w:val="both"/>
        <w:rPr>
          <w:rFonts w:cs="Arial"/>
          <w:b/>
          <w:color w:val="auto"/>
          <w:szCs w:val="22"/>
          <w:u w:val="single"/>
        </w:rPr>
      </w:pPr>
    </w:p>
    <w:p w14:paraId="5454F30D" w14:textId="614886E2" w:rsidR="0092434D" w:rsidRDefault="0092434D" w:rsidP="00740E4B">
      <w:pPr>
        <w:jc w:val="both"/>
        <w:rPr>
          <w:rFonts w:cs="Arial"/>
          <w:b/>
          <w:color w:val="auto"/>
          <w:szCs w:val="22"/>
          <w:u w:val="single"/>
        </w:rPr>
      </w:pPr>
    </w:p>
    <w:p w14:paraId="5D8DE55A" w14:textId="366B7C6C" w:rsidR="0092434D" w:rsidRDefault="0092434D" w:rsidP="00740E4B">
      <w:pPr>
        <w:jc w:val="both"/>
        <w:rPr>
          <w:rFonts w:cs="Arial"/>
          <w:b/>
          <w:color w:val="auto"/>
          <w:szCs w:val="22"/>
          <w:u w:val="single"/>
        </w:rPr>
      </w:pPr>
    </w:p>
    <w:p w14:paraId="71AD9960" w14:textId="5490F96D" w:rsidR="0092434D" w:rsidRDefault="0092434D" w:rsidP="00740E4B">
      <w:pPr>
        <w:jc w:val="both"/>
        <w:rPr>
          <w:rFonts w:cs="Arial"/>
          <w:b/>
          <w:color w:val="auto"/>
          <w:szCs w:val="22"/>
          <w:u w:val="single"/>
        </w:rPr>
      </w:pPr>
    </w:p>
    <w:p w14:paraId="12763CF3" w14:textId="58BD9B4B" w:rsidR="0092434D" w:rsidRDefault="0092434D" w:rsidP="00740E4B">
      <w:pPr>
        <w:jc w:val="both"/>
        <w:rPr>
          <w:rFonts w:cs="Arial"/>
          <w:b/>
          <w:color w:val="auto"/>
          <w:szCs w:val="22"/>
          <w:u w:val="single"/>
        </w:rPr>
      </w:pPr>
    </w:p>
    <w:p w14:paraId="55E5E676" w14:textId="7CFB7E22" w:rsidR="0092434D" w:rsidRDefault="0092434D" w:rsidP="00740E4B">
      <w:pPr>
        <w:jc w:val="both"/>
        <w:rPr>
          <w:rFonts w:cs="Arial"/>
          <w:b/>
          <w:color w:val="auto"/>
          <w:szCs w:val="22"/>
          <w:u w:val="single"/>
        </w:rPr>
      </w:pPr>
    </w:p>
    <w:p w14:paraId="466830C7" w14:textId="5722E226" w:rsidR="0092434D" w:rsidRDefault="0092434D" w:rsidP="00740E4B">
      <w:pPr>
        <w:jc w:val="both"/>
        <w:rPr>
          <w:rFonts w:cs="Arial"/>
          <w:b/>
          <w:color w:val="auto"/>
          <w:szCs w:val="22"/>
          <w:u w:val="single"/>
        </w:rPr>
      </w:pPr>
    </w:p>
    <w:p w14:paraId="4FA63510" w14:textId="704AB91F" w:rsidR="0092434D" w:rsidRDefault="0092434D" w:rsidP="00740E4B">
      <w:pPr>
        <w:jc w:val="both"/>
        <w:rPr>
          <w:rFonts w:cs="Arial"/>
          <w:b/>
          <w:color w:val="auto"/>
          <w:szCs w:val="22"/>
          <w:u w:val="single"/>
        </w:rPr>
      </w:pPr>
    </w:p>
    <w:p w14:paraId="7B572799" w14:textId="7DACDAFC" w:rsidR="0092434D" w:rsidRDefault="0092434D" w:rsidP="00740E4B">
      <w:pPr>
        <w:jc w:val="both"/>
        <w:rPr>
          <w:rFonts w:cs="Arial"/>
          <w:b/>
          <w:color w:val="auto"/>
          <w:szCs w:val="22"/>
          <w:u w:val="single"/>
        </w:rPr>
      </w:pPr>
    </w:p>
    <w:p w14:paraId="12B03F03" w14:textId="6B59F825" w:rsidR="0092434D" w:rsidRDefault="0092434D" w:rsidP="00740E4B">
      <w:pPr>
        <w:jc w:val="both"/>
        <w:rPr>
          <w:rFonts w:cs="Arial"/>
          <w:b/>
          <w:color w:val="auto"/>
          <w:szCs w:val="22"/>
          <w:u w:val="single"/>
        </w:rPr>
      </w:pPr>
    </w:p>
    <w:p w14:paraId="3229468B" w14:textId="7591945B" w:rsidR="0092434D" w:rsidRDefault="0092434D" w:rsidP="00740E4B">
      <w:pPr>
        <w:jc w:val="both"/>
        <w:rPr>
          <w:rFonts w:cs="Arial"/>
          <w:b/>
          <w:color w:val="auto"/>
          <w:szCs w:val="22"/>
          <w:u w:val="single"/>
        </w:rPr>
      </w:pPr>
    </w:p>
    <w:p w14:paraId="07FB668D" w14:textId="6CF55D11" w:rsidR="0092434D" w:rsidRDefault="0092434D" w:rsidP="00740E4B">
      <w:pPr>
        <w:jc w:val="both"/>
        <w:rPr>
          <w:rFonts w:cs="Arial"/>
          <w:b/>
          <w:color w:val="auto"/>
          <w:szCs w:val="22"/>
          <w:u w:val="single"/>
        </w:rPr>
      </w:pPr>
    </w:p>
    <w:p w14:paraId="760AAE24" w14:textId="1C0058AD" w:rsidR="0092434D" w:rsidRDefault="0092434D" w:rsidP="00740E4B">
      <w:pPr>
        <w:jc w:val="both"/>
        <w:rPr>
          <w:rFonts w:cs="Arial"/>
          <w:b/>
          <w:color w:val="auto"/>
          <w:szCs w:val="22"/>
          <w:u w:val="single"/>
        </w:rPr>
      </w:pPr>
    </w:p>
    <w:p w14:paraId="0FFB9B21" w14:textId="5456B64B" w:rsidR="0092434D" w:rsidRDefault="0092434D" w:rsidP="00740E4B">
      <w:pPr>
        <w:jc w:val="both"/>
        <w:rPr>
          <w:rFonts w:cs="Arial"/>
          <w:b/>
          <w:color w:val="auto"/>
          <w:szCs w:val="22"/>
          <w:u w:val="single"/>
        </w:rPr>
      </w:pPr>
    </w:p>
    <w:p w14:paraId="026026A3" w14:textId="1D9C4619" w:rsidR="0092434D" w:rsidRDefault="0092434D" w:rsidP="00740E4B">
      <w:pPr>
        <w:jc w:val="both"/>
        <w:rPr>
          <w:rFonts w:cs="Arial"/>
          <w:b/>
          <w:color w:val="auto"/>
          <w:szCs w:val="22"/>
          <w:u w:val="single"/>
        </w:rPr>
      </w:pPr>
    </w:p>
    <w:p w14:paraId="307C509F" w14:textId="0F39E14F" w:rsidR="0092434D" w:rsidRDefault="0092434D" w:rsidP="00740E4B">
      <w:pPr>
        <w:jc w:val="both"/>
        <w:rPr>
          <w:rFonts w:cs="Arial"/>
          <w:b/>
          <w:color w:val="auto"/>
          <w:szCs w:val="22"/>
          <w:u w:val="single"/>
        </w:rPr>
      </w:pPr>
    </w:p>
    <w:p w14:paraId="6D3AC361" w14:textId="3A855E54" w:rsidR="0092434D" w:rsidRDefault="0092434D" w:rsidP="00740E4B">
      <w:pPr>
        <w:jc w:val="both"/>
        <w:rPr>
          <w:rFonts w:cs="Arial"/>
          <w:b/>
          <w:color w:val="auto"/>
          <w:szCs w:val="22"/>
          <w:u w:val="single"/>
        </w:rPr>
      </w:pPr>
    </w:p>
    <w:p w14:paraId="2B806CF5" w14:textId="2980930F" w:rsidR="0092434D" w:rsidRDefault="0092434D" w:rsidP="00740E4B">
      <w:pPr>
        <w:jc w:val="both"/>
        <w:rPr>
          <w:rFonts w:cs="Arial"/>
          <w:b/>
          <w:color w:val="auto"/>
          <w:szCs w:val="22"/>
          <w:u w:val="single"/>
        </w:rPr>
      </w:pPr>
    </w:p>
    <w:p w14:paraId="5EE973A4" w14:textId="4496786C" w:rsidR="0092434D" w:rsidRDefault="0092434D" w:rsidP="00740E4B">
      <w:pPr>
        <w:jc w:val="both"/>
        <w:rPr>
          <w:rFonts w:cs="Arial"/>
          <w:b/>
          <w:color w:val="auto"/>
          <w:szCs w:val="22"/>
          <w:u w:val="single"/>
        </w:rPr>
      </w:pPr>
    </w:p>
    <w:p w14:paraId="06ED9CFB" w14:textId="5B969622" w:rsidR="00FD7836" w:rsidRDefault="00FD7836" w:rsidP="00740E4B">
      <w:pPr>
        <w:jc w:val="both"/>
        <w:rPr>
          <w:rFonts w:cs="Arial"/>
          <w:b/>
          <w:color w:val="auto"/>
          <w:szCs w:val="22"/>
          <w:u w:val="single"/>
        </w:rPr>
      </w:pPr>
    </w:p>
    <w:p w14:paraId="37EB6FD5" w14:textId="044F1A2B" w:rsidR="00FD7836" w:rsidRDefault="00FD7836" w:rsidP="00740E4B">
      <w:pPr>
        <w:jc w:val="both"/>
        <w:rPr>
          <w:rFonts w:cs="Arial"/>
          <w:b/>
          <w:color w:val="auto"/>
          <w:szCs w:val="22"/>
          <w:u w:val="single"/>
        </w:rPr>
      </w:pPr>
    </w:p>
    <w:sdt>
      <w:sdtPr>
        <w:rPr>
          <w:rFonts w:eastAsia="Times New Roman" w:cs="Times New Roman"/>
          <w:b w:val="0"/>
          <w:color w:val="000000"/>
          <w:sz w:val="22"/>
          <w:szCs w:val="20"/>
          <w:lang w:val="es-ES"/>
        </w:rPr>
        <w:id w:val="-837160122"/>
        <w:docPartObj>
          <w:docPartGallery w:val="Table of Contents"/>
          <w:docPartUnique/>
        </w:docPartObj>
      </w:sdtPr>
      <w:sdtEndPr>
        <w:rPr>
          <w:bCs/>
        </w:rPr>
      </w:sdtEndPr>
      <w:sdtContent>
        <w:p w14:paraId="72507044" w14:textId="65D87888" w:rsidR="00FD7836" w:rsidRDefault="00FD7836">
          <w:pPr>
            <w:pStyle w:val="TtuloTDC"/>
          </w:pPr>
          <w:r>
            <w:rPr>
              <w:lang w:val="es-ES"/>
            </w:rPr>
            <w:t>Contenido</w:t>
          </w:r>
        </w:p>
        <w:p w14:paraId="4E588EDC" w14:textId="10DD8CCA" w:rsidR="004E6696" w:rsidRDefault="00FD7836">
          <w:pPr>
            <w:pStyle w:val="TDC1"/>
            <w:tabs>
              <w:tab w:val="left" w:pos="440"/>
              <w:tab w:val="right" w:leader="dot" w:pos="9410"/>
            </w:tabs>
            <w:rPr>
              <w:rFonts w:asciiTheme="minorHAnsi" w:eastAsiaTheme="minorEastAsia" w:hAnsiTheme="minorHAnsi" w:cstheme="minorBidi"/>
              <w:noProof/>
              <w:color w:val="auto"/>
              <w:szCs w:val="22"/>
            </w:rPr>
          </w:pPr>
          <w:r>
            <w:rPr>
              <w:b/>
              <w:bCs/>
              <w:lang w:val="es-ES"/>
            </w:rPr>
            <w:fldChar w:fldCharType="begin"/>
          </w:r>
          <w:r>
            <w:rPr>
              <w:b/>
              <w:bCs/>
              <w:lang w:val="es-ES"/>
            </w:rPr>
            <w:instrText xml:space="preserve"> TOC \o "1-3" \h \z \u </w:instrText>
          </w:r>
          <w:r>
            <w:rPr>
              <w:b/>
              <w:bCs/>
              <w:lang w:val="es-ES"/>
            </w:rPr>
            <w:fldChar w:fldCharType="separate"/>
          </w:r>
          <w:hyperlink w:anchor="_Toc145672292" w:history="1">
            <w:r w:rsidR="004E6696" w:rsidRPr="00331840">
              <w:rPr>
                <w:rStyle w:val="Hipervnculo"/>
                <w:rFonts w:cs="Arial"/>
                <w:noProof/>
              </w:rPr>
              <w:t>1.</w:t>
            </w:r>
            <w:r w:rsidR="004E6696">
              <w:rPr>
                <w:rFonts w:asciiTheme="minorHAnsi" w:eastAsiaTheme="minorEastAsia" w:hAnsiTheme="minorHAnsi" w:cstheme="minorBidi"/>
                <w:noProof/>
                <w:color w:val="auto"/>
                <w:szCs w:val="22"/>
              </w:rPr>
              <w:tab/>
            </w:r>
            <w:r w:rsidR="004E6696" w:rsidRPr="00331840">
              <w:rPr>
                <w:rStyle w:val="Hipervnculo"/>
                <w:rFonts w:cs="Arial"/>
                <w:noProof/>
              </w:rPr>
              <w:t>OBJETIVO</w:t>
            </w:r>
            <w:r w:rsidR="004E6696">
              <w:rPr>
                <w:noProof/>
                <w:webHidden/>
              </w:rPr>
              <w:tab/>
            </w:r>
            <w:r w:rsidR="004E6696">
              <w:rPr>
                <w:noProof/>
                <w:webHidden/>
              </w:rPr>
              <w:fldChar w:fldCharType="begin"/>
            </w:r>
            <w:r w:rsidR="004E6696">
              <w:rPr>
                <w:noProof/>
                <w:webHidden/>
              </w:rPr>
              <w:instrText xml:space="preserve"> PAGEREF _Toc145672292 \h </w:instrText>
            </w:r>
            <w:r w:rsidR="004E6696">
              <w:rPr>
                <w:noProof/>
                <w:webHidden/>
              </w:rPr>
            </w:r>
            <w:r w:rsidR="004E6696">
              <w:rPr>
                <w:noProof/>
                <w:webHidden/>
              </w:rPr>
              <w:fldChar w:fldCharType="separate"/>
            </w:r>
            <w:r w:rsidR="003A7D83">
              <w:rPr>
                <w:noProof/>
                <w:webHidden/>
              </w:rPr>
              <w:t>3</w:t>
            </w:r>
            <w:r w:rsidR="004E6696">
              <w:rPr>
                <w:noProof/>
                <w:webHidden/>
              </w:rPr>
              <w:fldChar w:fldCharType="end"/>
            </w:r>
          </w:hyperlink>
        </w:p>
        <w:p w14:paraId="366D7B8B" w14:textId="2D756D4F" w:rsidR="004E6696" w:rsidRDefault="00AB45E0">
          <w:pPr>
            <w:pStyle w:val="TDC1"/>
            <w:tabs>
              <w:tab w:val="left" w:pos="440"/>
              <w:tab w:val="right" w:leader="dot" w:pos="9410"/>
            </w:tabs>
            <w:rPr>
              <w:rFonts w:asciiTheme="minorHAnsi" w:eastAsiaTheme="minorEastAsia" w:hAnsiTheme="minorHAnsi" w:cstheme="minorBidi"/>
              <w:noProof/>
              <w:color w:val="auto"/>
              <w:szCs w:val="22"/>
            </w:rPr>
          </w:pPr>
          <w:hyperlink w:anchor="_Toc145672293" w:history="1">
            <w:r w:rsidR="004E6696" w:rsidRPr="00331840">
              <w:rPr>
                <w:rStyle w:val="Hipervnculo"/>
                <w:rFonts w:cs="Arial"/>
                <w:noProof/>
              </w:rPr>
              <w:t>2.</w:t>
            </w:r>
            <w:r w:rsidR="004E6696">
              <w:rPr>
                <w:rFonts w:asciiTheme="minorHAnsi" w:eastAsiaTheme="minorEastAsia" w:hAnsiTheme="minorHAnsi" w:cstheme="minorBidi"/>
                <w:noProof/>
                <w:color w:val="auto"/>
                <w:szCs w:val="22"/>
              </w:rPr>
              <w:tab/>
            </w:r>
            <w:r w:rsidR="004E6696" w:rsidRPr="00331840">
              <w:rPr>
                <w:rStyle w:val="Hipervnculo"/>
                <w:rFonts w:cs="Arial"/>
                <w:noProof/>
              </w:rPr>
              <w:t>DIRIGIDO A</w:t>
            </w:r>
            <w:r w:rsidR="004E6696">
              <w:rPr>
                <w:noProof/>
                <w:webHidden/>
              </w:rPr>
              <w:tab/>
            </w:r>
            <w:r w:rsidR="004E6696">
              <w:rPr>
                <w:noProof/>
                <w:webHidden/>
              </w:rPr>
              <w:fldChar w:fldCharType="begin"/>
            </w:r>
            <w:r w:rsidR="004E6696">
              <w:rPr>
                <w:noProof/>
                <w:webHidden/>
              </w:rPr>
              <w:instrText xml:space="preserve"> PAGEREF _Toc145672293 \h </w:instrText>
            </w:r>
            <w:r w:rsidR="004E6696">
              <w:rPr>
                <w:noProof/>
                <w:webHidden/>
              </w:rPr>
            </w:r>
            <w:r w:rsidR="004E6696">
              <w:rPr>
                <w:noProof/>
                <w:webHidden/>
              </w:rPr>
              <w:fldChar w:fldCharType="separate"/>
            </w:r>
            <w:r w:rsidR="003A7D83">
              <w:rPr>
                <w:noProof/>
                <w:webHidden/>
              </w:rPr>
              <w:t>3</w:t>
            </w:r>
            <w:r w:rsidR="004E6696">
              <w:rPr>
                <w:noProof/>
                <w:webHidden/>
              </w:rPr>
              <w:fldChar w:fldCharType="end"/>
            </w:r>
          </w:hyperlink>
        </w:p>
        <w:p w14:paraId="2129535F" w14:textId="5C6F599D" w:rsidR="004E6696" w:rsidRDefault="00AB45E0">
          <w:pPr>
            <w:pStyle w:val="TDC1"/>
            <w:tabs>
              <w:tab w:val="left" w:pos="440"/>
              <w:tab w:val="right" w:leader="dot" w:pos="9410"/>
            </w:tabs>
            <w:rPr>
              <w:rFonts w:asciiTheme="minorHAnsi" w:eastAsiaTheme="minorEastAsia" w:hAnsiTheme="minorHAnsi" w:cstheme="minorBidi"/>
              <w:noProof/>
              <w:color w:val="auto"/>
              <w:szCs w:val="22"/>
            </w:rPr>
          </w:pPr>
          <w:hyperlink w:anchor="_Toc145672294" w:history="1">
            <w:r w:rsidR="004E6696" w:rsidRPr="00331840">
              <w:rPr>
                <w:rStyle w:val="Hipervnculo"/>
                <w:rFonts w:cs="Arial"/>
                <w:noProof/>
              </w:rPr>
              <w:t>3.</w:t>
            </w:r>
            <w:r w:rsidR="004E6696">
              <w:rPr>
                <w:rFonts w:asciiTheme="minorHAnsi" w:eastAsiaTheme="minorEastAsia" w:hAnsiTheme="minorHAnsi" w:cstheme="minorBidi"/>
                <w:noProof/>
                <w:color w:val="auto"/>
                <w:szCs w:val="22"/>
              </w:rPr>
              <w:tab/>
            </w:r>
            <w:r w:rsidR="004E6696" w:rsidRPr="00331840">
              <w:rPr>
                <w:rStyle w:val="Hipervnculo"/>
                <w:rFonts w:cs="Arial"/>
                <w:noProof/>
              </w:rPr>
              <w:t>MARCO REGULATORIO</w:t>
            </w:r>
            <w:r w:rsidR="004E6696">
              <w:rPr>
                <w:noProof/>
                <w:webHidden/>
              </w:rPr>
              <w:tab/>
            </w:r>
            <w:r w:rsidR="004E6696">
              <w:rPr>
                <w:noProof/>
                <w:webHidden/>
              </w:rPr>
              <w:fldChar w:fldCharType="begin"/>
            </w:r>
            <w:r w:rsidR="004E6696">
              <w:rPr>
                <w:noProof/>
                <w:webHidden/>
              </w:rPr>
              <w:instrText xml:space="preserve"> PAGEREF _Toc145672294 \h </w:instrText>
            </w:r>
            <w:r w:rsidR="004E6696">
              <w:rPr>
                <w:noProof/>
                <w:webHidden/>
              </w:rPr>
            </w:r>
            <w:r w:rsidR="004E6696">
              <w:rPr>
                <w:noProof/>
                <w:webHidden/>
              </w:rPr>
              <w:fldChar w:fldCharType="separate"/>
            </w:r>
            <w:r w:rsidR="003A7D83">
              <w:rPr>
                <w:noProof/>
                <w:webHidden/>
              </w:rPr>
              <w:t>3</w:t>
            </w:r>
            <w:r w:rsidR="004E6696">
              <w:rPr>
                <w:noProof/>
                <w:webHidden/>
              </w:rPr>
              <w:fldChar w:fldCharType="end"/>
            </w:r>
          </w:hyperlink>
        </w:p>
        <w:p w14:paraId="49702F1D" w14:textId="524E47A9" w:rsidR="004E6696" w:rsidRDefault="00AB45E0">
          <w:pPr>
            <w:pStyle w:val="TDC2"/>
            <w:tabs>
              <w:tab w:val="left" w:pos="880"/>
              <w:tab w:val="right" w:leader="dot" w:pos="9410"/>
            </w:tabs>
            <w:rPr>
              <w:rFonts w:asciiTheme="minorHAnsi" w:eastAsiaTheme="minorEastAsia" w:hAnsiTheme="minorHAnsi" w:cstheme="minorBidi"/>
              <w:noProof/>
              <w:color w:val="auto"/>
              <w:szCs w:val="22"/>
            </w:rPr>
          </w:pPr>
          <w:hyperlink w:anchor="_Toc145672298" w:history="1">
            <w:r w:rsidR="004E6696" w:rsidRPr="00331840">
              <w:rPr>
                <w:rStyle w:val="Hipervnculo"/>
                <w:noProof/>
              </w:rPr>
              <w:t>3.1.</w:t>
            </w:r>
            <w:r w:rsidR="004E6696">
              <w:rPr>
                <w:rFonts w:asciiTheme="minorHAnsi" w:eastAsiaTheme="minorEastAsia" w:hAnsiTheme="minorHAnsi" w:cstheme="minorBidi"/>
                <w:noProof/>
                <w:color w:val="auto"/>
                <w:szCs w:val="22"/>
              </w:rPr>
              <w:tab/>
            </w:r>
            <w:r w:rsidR="004E6696" w:rsidRPr="00331840">
              <w:rPr>
                <w:rStyle w:val="Hipervnculo"/>
                <w:noProof/>
                <w:shd w:val="clear" w:color="auto" w:fill="FFFFFF"/>
              </w:rPr>
              <w:t>Fiscalización</w:t>
            </w:r>
            <w:r w:rsidR="004E6696">
              <w:rPr>
                <w:noProof/>
                <w:webHidden/>
              </w:rPr>
              <w:tab/>
            </w:r>
            <w:r w:rsidR="004E6696">
              <w:rPr>
                <w:noProof/>
                <w:webHidden/>
              </w:rPr>
              <w:fldChar w:fldCharType="begin"/>
            </w:r>
            <w:r w:rsidR="004E6696">
              <w:rPr>
                <w:noProof/>
                <w:webHidden/>
              </w:rPr>
              <w:instrText xml:space="preserve"> PAGEREF _Toc145672298 \h </w:instrText>
            </w:r>
            <w:r w:rsidR="004E6696">
              <w:rPr>
                <w:noProof/>
                <w:webHidden/>
              </w:rPr>
            </w:r>
            <w:r w:rsidR="004E6696">
              <w:rPr>
                <w:noProof/>
                <w:webHidden/>
              </w:rPr>
              <w:fldChar w:fldCharType="separate"/>
            </w:r>
            <w:r w:rsidR="003A7D83">
              <w:rPr>
                <w:noProof/>
                <w:webHidden/>
              </w:rPr>
              <w:t>3</w:t>
            </w:r>
            <w:r w:rsidR="004E6696">
              <w:rPr>
                <w:noProof/>
                <w:webHidden/>
              </w:rPr>
              <w:fldChar w:fldCharType="end"/>
            </w:r>
          </w:hyperlink>
        </w:p>
        <w:p w14:paraId="6FCC4FF0" w14:textId="4A4EA07B" w:rsidR="004E6696" w:rsidRDefault="00AB45E0">
          <w:pPr>
            <w:pStyle w:val="TDC2"/>
            <w:tabs>
              <w:tab w:val="left" w:pos="880"/>
              <w:tab w:val="right" w:leader="dot" w:pos="9410"/>
            </w:tabs>
            <w:rPr>
              <w:rFonts w:asciiTheme="minorHAnsi" w:eastAsiaTheme="minorEastAsia" w:hAnsiTheme="minorHAnsi" w:cstheme="minorBidi"/>
              <w:noProof/>
              <w:color w:val="auto"/>
              <w:szCs w:val="22"/>
            </w:rPr>
          </w:pPr>
          <w:hyperlink w:anchor="_Toc145672299" w:history="1">
            <w:r w:rsidR="004E6696" w:rsidRPr="00331840">
              <w:rPr>
                <w:rStyle w:val="Hipervnculo"/>
                <w:noProof/>
              </w:rPr>
              <w:t>3.2.</w:t>
            </w:r>
            <w:r w:rsidR="004E6696">
              <w:rPr>
                <w:rFonts w:asciiTheme="minorHAnsi" w:eastAsiaTheme="minorEastAsia" w:hAnsiTheme="minorHAnsi" w:cstheme="minorBidi"/>
                <w:noProof/>
                <w:color w:val="auto"/>
                <w:szCs w:val="22"/>
              </w:rPr>
              <w:tab/>
            </w:r>
            <w:r w:rsidR="004E6696" w:rsidRPr="00331840">
              <w:rPr>
                <w:rStyle w:val="Hipervnculo"/>
                <w:noProof/>
                <w:shd w:val="clear" w:color="auto" w:fill="FFFFFF"/>
              </w:rPr>
              <w:t>Marco de regulación de emisiones - Resolución 40066 de 11 de febrero de 2022.</w:t>
            </w:r>
            <w:r w:rsidR="004E6696">
              <w:rPr>
                <w:noProof/>
                <w:webHidden/>
              </w:rPr>
              <w:tab/>
            </w:r>
            <w:r w:rsidR="004E6696">
              <w:rPr>
                <w:noProof/>
                <w:webHidden/>
              </w:rPr>
              <w:fldChar w:fldCharType="begin"/>
            </w:r>
            <w:r w:rsidR="004E6696">
              <w:rPr>
                <w:noProof/>
                <w:webHidden/>
              </w:rPr>
              <w:instrText xml:space="preserve"> PAGEREF _Toc145672299 \h </w:instrText>
            </w:r>
            <w:r w:rsidR="004E6696">
              <w:rPr>
                <w:noProof/>
                <w:webHidden/>
              </w:rPr>
            </w:r>
            <w:r w:rsidR="004E6696">
              <w:rPr>
                <w:noProof/>
                <w:webHidden/>
              </w:rPr>
              <w:fldChar w:fldCharType="separate"/>
            </w:r>
            <w:r w:rsidR="003A7D83">
              <w:rPr>
                <w:noProof/>
                <w:webHidden/>
              </w:rPr>
              <w:t>5</w:t>
            </w:r>
            <w:r w:rsidR="004E6696">
              <w:rPr>
                <w:noProof/>
                <w:webHidden/>
              </w:rPr>
              <w:fldChar w:fldCharType="end"/>
            </w:r>
          </w:hyperlink>
        </w:p>
        <w:p w14:paraId="0C239351" w14:textId="0B0C7977" w:rsidR="004E6696" w:rsidRDefault="00AB45E0">
          <w:pPr>
            <w:pStyle w:val="TDC2"/>
            <w:tabs>
              <w:tab w:val="left" w:pos="880"/>
              <w:tab w:val="right" w:leader="dot" w:pos="9410"/>
            </w:tabs>
            <w:rPr>
              <w:rFonts w:asciiTheme="minorHAnsi" w:eastAsiaTheme="minorEastAsia" w:hAnsiTheme="minorHAnsi" w:cstheme="minorBidi"/>
              <w:noProof/>
              <w:color w:val="auto"/>
              <w:szCs w:val="22"/>
            </w:rPr>
          </w:pPr>
          <w:hyperlink w:anchor="_Toc145672300" w:history="1">
            <w:r w:rsidR="004E6696" w:rsidRPr="00331840">
              <w:rPr>
                <w:rStyle w:val="Hipervnculo"/>
                <w:noProof/>
              </w:rPr>
              <w:t>3.3.</w:t>
            </w:r>
            <w:r w:rsidR="004E6696">
              <w:rPr>
                <w:rFonts w:asciiTheme="minorHAnsi" w:eastAsiaTheme="minorEastAsia" w:hAnsiTheme="minorHAnsi" w:cstheme="minorBidi"/>
                <w:noProof/>
                <w:color w:val="auto"/>
                <w:szCs w:val="22"/>
              </w:rPr>
              <w:tab/>
            </w:r>
            <w:r w:rsidR="004E6696" w:rsidRPr="00331840">
              <w:rPr>
                <w:rStyle w:val="Hipervnculo"/>
                <w:noProof/>
                <w:shd w:val="clear" w:color="auto" w:fill="FFFFFF"/>
              </w:rPr>
              <w:t>Marco de regulación de emisiones - Resolución 40317 de 10 de abril de 2023.</w:t>
            </w:r>
            <w:r w:rsidR="004E6696">
              <w:rPr>
                <w:noProof/>
                <w:webHidden/>
              </w:rPr>
              <w:tab/>
            </w:r>
            <w:r w:rsidR="004E6696">
              <w:rPr>
                <w:noProof/>
                <w:webHidden/>
              </w:rPr>
              <w:fldChar w:fldCharType="begin"/>
            </w:r>
            <w:r w:rsidR="004E6696">
              <w:rPr>
                <w:noProof/>
                <w:webHidden/>
              </w:rPr>
              <w:instrText xml:space="preserve"> PAGEREF _Toc145672300 \h </w:instrText>
            </w:r>
            <w:r w:rsidR="004E6696">
              <w:rPr>
                <w:noProof/>
                <w:webHidden/>
              </w:rPr>
            </w:r>
            <w:r w:rsidR="004E6696">
              <w:rPr>
                <w:noProof/>
                <w:webHidden/>
              </w:rPr>
              <w:fldChar w:fldCharType="separate"/>
            </w:r>
            <w:r w:rsidR="003A7D83">
              <w:rPr>
                <w:noProof/>
                <w:webHidden/>
              </w:rPr>
              <w:t>5</w:t>
            </w:r>
            <w:r w:rsidR="004E6696">
              <w:rPr>
                <w:noProof/>
                <w:webHidden/>
              </w:rPr>
              <w:fldChar w:fldCharType="end"/>
            </w:r>
          </w:hyperlink>
        </w:p>
        <w:p w14:paraId="4BD737E8" w14:textId="50EC66E3" w:rsidR="004E6696" w:rsidRDefault="00AB45E0">
          <w:pPr>
            <w:pStyle w:val="TDC1"/>
            <w:tabs>
              <w:tab w:val="left" w:pos="440"/>
              <w:tab w:val="right" w:leader="dot" w:pos="9410"/>
            </w:tabs>
            <w:rPr>
              <w:rFonts w:asciiTheme="minorHAnsi" w:eastAsiaTheme="minorEastAsia" w:hAnsiTheme="minorHAnsi" w:cstheme="minorBidi"/>
              <w:noProof/>
              <w:color w:val="auto"/>
              <w:szCs w:val="22"/>
            </w:rPr>
          </w:pPr>
          <w:hyperlink w:anchor="_Toc145672301" w:history="1">
            <w:r w:rsidR="004E6696" w:rsidRPr="00331840">
              <w:rPr>
                <w:rStyle w:val="Hipervnculo"/>
                <w:rFonts w:cs="Arial"/>
                <w:noProof/>
              </w:rPr>
              <w:t>4.</w:t>
            </w:r>
            <w:r w:rsidR="004E6696">
              <w:rPr>
                <w:rFonts w:asciiTheme="minorHAnsi" w:eastAsiaTheme="minorEastAsia" w:hAnsiTheme="minorHAnsi" w:cstheme="minorBidi"/>
                <w:noProof/>
                <w:color w:val="auto"/>
                <w:szCs w:val="22"/>
              </w:rPr>
              <w:tab/>
            </w:r>
            <w:r w:rsidR="004E6696" w:rsidRPr="00331840">
              <w:rPr>
                <w:rStyle w:val="Hipervnculo"/>
                <w:rFonts w:cs="Arial"/>
                <w:noProof/>
              </w:rPr>
              <w:t>DEFINICIONES</w:t>
            </w:r>
            <w:r w:rsidR="004E6696">
              <w:rPr>
                <w:noProof/>
                <w:webHidden/>
              </w:rPr>
              <w:tab/>
            </w:r>
            <w:r w:rsidR="004E6696">
              <w:rPr>
                <w:noProof/>
                <w:webHidden/>
              </w:rPr>
              <w:fldChar w:fldCharType="begin"/>
            </w:r>
            <w:r w:rsidR="004E6696">
              <w:rPr>
                <w:noProof/>
                <w:webHidden/>
              </w:rPr>
              <w:instrText xml:space="preserve"> PAGEREF _Toc145672301 \h </w:instrText>
            </w:r>
            <w:r w:rsidR="004E6696">
              <w:rPr>
                <w:noProof/>
                <w:webHidden/>
              </w:rPr>
            </w:r>
            <w:r w:rsidR="004E6696">
              <w:rPr>
                <w:noProof/>
                <w:webHidden/>
              </w:rPr>
              <w:fldChar w:fldCharType="separate"/>
            </w:r>
            <w:r w:rsidR="003A7D83">
              <w:rPr>
                <w:noProof/>
                <w:webHidden/>
              </w:rPr>
              <w:t>6</w:t>
            </w:r>
            <w:r w:rsidR="004E6696">
              <w:rPr>
                <w:noProof/>
                <w:webHidden/>
              </w:rPr>
              <w:fldChar w:fldCharType="end"/>
            </w:r>
          </w:hyperlink>
        </w:p>
        <w:p w14:paraId="1A88A2F0" w14:textId="75E46C0C" w:rsidR="004E6696" w:rsidRDefault="00AB45E0">
          <w:pPr>
            <w:pStyle w:val="TDC1"/>
            <w:tabs>
              <w:tab w:val="left" w:pos="440"/>
              <w:tab w:val="right" w:leader="dot" w:pos="9410"/>
            </w:tabs>
            <w:rPr>
              <w:rFonts w:asciiTheme="minorHAnsi" w:eastAsiaTheme="minorEastAsia" w:hAnsiTheme="minorHAnsi" w:cstheme="minorBidi"/>
              <w:noProof/>
              <w:color w:val="auto"/>
              <w:szCs w:val="22"/>
            </w:rPr>
          </w:pPr>
          <w:hyperlink w:anchor="_Toc145672302" w:history="1">
            <w:r w:rsidR="004E6696" w:rsidRPr="00331840">
              <w:rPr>
                <w:rStyle w:val="Hipervnculo"/>
                <w:rFonts w:cs="Arial"/>
                <w:noProof/>
              </w:rPr>
              <w:t>5.</w:t>
            </w:r>
            <w:r w:rsidR="004E6696">
              <w:rPr>
                <w:rFonts w:asciiTheme="minorHAnsi" w:eastAsiaTheme="minorEastAsia" w:hAnsiTheme="minorHAnsi" w:cstheme="minorBidi"/>
                <w:noProof/>
                <w:color w:val="auto"/>
                <w:szCs w:val="22"/>
              </w:rPr>
              <w:tab/>
            </w:r>
            <w:r w:rsidR="004E6696" w:rsidRPr="00331840">
              <w:rPr>
                <w:rStyle w:val="Hipervnculo"/>
                <w:rFonts w:cs="Arial"/>
                <w:noProof/>
              </w:rPr>
              <w:t>INTRODUCCIÓN</w:t>
            </w:r>
            <w:r w:rsidR="004E6696">
              <w:rPr>
                <w:noProof/>
                <w:webHidden/>
              </w:rPr>
              <w:tab/>
            </w:r>
            <w:r w:rsidR="004E6696">
              <w:rPr>
                <w:noProof/>
                <w:webHidden/>
              </w:rPr>
              <w:fldChar w:fldCharType="begin"/>
            </w:r>
            <w:r w:rsidR="004E6696">
              <w:rPr>
                <w:noProof/>
                <w:webHidden/>
              </w:rPr>
              <w:instrText xml:space="preserve"> PAGEREF _Toc145672302 \h </w:instrText>
            </w:r>
            <w:r w:rsidR="004E6696">
              <w:rPr>
                <w:noProof/>
                <w:webHidden/>
              </w:rPr>
            </w:r>
            <w:r w:rsidR="004E6696">
              <w:rPr>
                <w:noProof/>
                <w:webHidden/>
              </w:rPr>
              <w:fldChar w:fldCharType="separate"/>
            </w:r>
            <w:r w:rsidR="003A7D83">
              <w:rPr>
                <w:noProof/>
                <w:webHidden/>
              </w:rPr>
              <w:t>7</w:t>
            </w:r>
            <w:r w:rsidR="004E6696">
              <w:rPr>
                <w:noProof/>
                <w:webHidden/>
              </w:rPr>
              <w:fldChar w:fldCharType="end"/>
            </w:r>
          </w:hyperlink>
        </w:p>
        <w:p w14:paraId="06DF9AFF" w14:textId="17D7C05C" w:rsidR="004E6696" w:rsidRDefault="00AB45E0">
          <w:pPr>
            <w:pStyle w:val="TDC1"/>
            <w:tabs>
              <w:tab w:val="left" w:pos="440"/>
              <w:tab w:val="right" w:leader="dot" w:pos="9410"/>
            </w:tabs>
            <w:rPr>
              <w:rFonts w:asciiTheme="minorHAnsi" w:eastAsiaTheme="minorEastAsia" w:hAnsiTheme="minorHAnsi" w:cstheme="minorBidi"/>
              <w:noProof/>
              <w:color w:val="auto"/>
              <w:szCs w:val="22"/>
            </w:rPr>
          </w:pPr>
          <w:hyperlink w:anchor="_Toc145672303" w:history="1">
            <w:r w:rsidR="004E6696" w:rsidRPr="00331840">
              <w:rPr>
                <w:rStyle w:val="Hipervnculo"/>
                <w:rFonts w:cs="Arial"/>
                <w:noProof/>
              </w:rPr>
              <w:t>6.</w:t>
            </w:r>
            <w:r w:rsidR="004E6696">
              <w:rPr>
                <w:rFonts w:asciiTheme="minorHAnsi" w:eastAsiaTheme="minorEastAsia" w:hAnsiTheme="minorHAnsi" w:cstheme="minorBidi"/>
                <w:noProof/>
                <w:color w:val="auto"/>
                <w:szCs w:val="22"/>
              </w:rPr>
              <w:tab/>
            </w:r>
            <w:r w:rsidR="004E6696" w:rsidRPr="00331840">
              <w:rPr>
                <w:rStyle w:val="Hipervnculo"/>
                <w:rFonts w:cs="Arial"/>
                <w:noProof/>
              </w:rPr>
              <w:t>EMISIONES GEI POR QUEMA EN TEA</w:t>
            </w:r>
            <w:r w:rsidR="004E6696">
              <w:rPr>
                <w:noProof/>
                <w:webHidden/>
              </w:rPr>
              <w:tab/>
            </w:r>
            <w:r w:rsidR="004E6696">
              <w:rPr>
                <w:noProof/>
                <w:webHidden/>
              </w:rPr>
              <w:fldChar w:fldCharType="begin"/>
            </w:r>
            <w:r w:rsidR="004E6696">
              <w:rPr>
                <w:noProof/>
                <w:webHidden/>
              </w:rPr>
              <w:instrText xml:space="preserve"> PAGEREF _Toc145672303 \h </w:instrText>
            </w:r>
            <w:r w:rsidR="004E6696">
              <w:rPr>
                <w:noProof/>
                <w:webHidden/>
              </w:rPr>
            </w:r>
            <w:r w:rsidR="004E6696">
              <w:rPr>
                <w:noProof/>
                <w:webHidden/>
              </w:rPr>
              <w:fldChar w:fldCharType="separate"/>
            </w:r>
            <w:r w:rsidR="003A7D83">
              <w:rPr>
                <w:noProof/>
                <w:webHidden/>
              </w:rPr>
              <w:t>7</w:t>
            </w:r>
            <w:r w:rsidR="004E6696">
              <w:rPr>
                <w:noProof/>
                <w:webHidden/>
              </w:rPr>
              <w:fldChar w:fldCharType="end"/>
            </w:r>
          </w:hyperlink>
        </w:p>
        <w:p w14:paraId="4B49D8E4" w14:textId="419DE340" w:rsidR="004E6696" w:rsidRDefault="00AB45E0">
          <w:pPr>
            <w:pStyle w:val="TDC1"/>
            <w:tabs>
              <w:tab w:val="left" w:pos="440"/>
              <w:tab w:val="right" w:leader="dot" w:pos="9410"/>
            </w:tabs>
            <w:rPr>
              <w:rFonts w:asciiTheme="minorHAnsi" w:eastAsiaTheme="minorEastAsia" w:hAnsiTheme="minorHAnsi" w:cstheme="minorBidi"/>
              <w:noProof/>
              <w:color w:val="auto"/>
              <w:szCs w:val="22"/>
            </w:rPr>
          </w:pPr>
          <w:hyperlink w:anchor="_Toc145672304" w:history="1">
            <w:r w:rsidR="004E6696" w:rsidRPr="00331840">
              <w:rPr>
                <w:rStyle w:val="Hipervnculo"/>
                <w:rFonts w:cs="Arial"/>
                <w:noProof/>
              </w:rPr>
              <w:t>7.</w:t>
            </w:r>
            <w:r w:rsidR="004E6696">
              <w:rPr>
                <w:rFonts w:asciiTheme="minorHAnsi" w:eastAsiaTheme="minorEastAsia" w:hAnsiTheme="minorHAnsi" w:cstheme="minorBidi"/>
                <w:noProof/>
                <w:color w:val="auto"/>
                <w:szCs w:val="22"/>
              </w:rPr>
              <w:tab/>
            </w:r>
            <w:r w:rsidR="004E6696" w:rsidRPr="00331840">
              <w:rPr>
                <w:rStyle w:val="Hipervnculo"/>
                <w:rFonts w:cs="Arial"/>
                <w:noProof/>
              </w:rPr>
              <w:t>EVALUACIÓN DE LA EFICIENCIA DE COMBUSTIÓN DE LA TEA</w:t>
            </w:r>
            <w:r w:rsidR="004E6696">
              <w:rPr>
                <w:noProof/>
                <w:webHidden/>
              </w:rPr>
              <w:tab/>
            </w:r>
            <w:r w:rsidR="004E6696">
              <w:rPr>
                <w:noProof/>
                <w:webHidden/>
              </w:rPr>
              <w:fldChar w:fldCharType="begin"/>
            </w:r>
            <w:r w:rsidR="004E6696">
              <w:rPr>
                <w:noProof/>
                <w:webHidden/>
              </w:rPr>
              <w:instrText xml:space="preserve"> PAGEREF _Toc145672304 \h </w:instrText>
            </w:r>
            <w:r w:rsidR="004E6696">
              <w:rPr>
                <w:noProof/>
                <w:webHidden/>
              </w:rPr>
            </w:r>
            <w:r w:rsidR="004E6696">
              <w:rPr>
                <w:noProof/>
                <w:webHidden/>
              </w:rPr>
              <w:fldChar w:fldCharType="separate"/>
            </w:r>
            <w:r w:rsidR="003A7D83">
              <w:rPr>
                <w:noProof/>
                <w:webHidden/>
              </w:rPr>
              <w:t>9</w:t>
            </w:r>
            <w:r w:rsidR="004E6696">
              <w:rPr>
                <w:noProof/>
                <w:webHidden/>
              </w:rPr>
              <w:fldChar w:fldCharType="end"/>
            </w:r>
          </w:hyperlink>
        </w:p>
        <w:p w14:paraId="6B127BC4" w14:textId="0A0FABCD" w:rsidR="004E6696" w:rsidRDefault="00AB45E0">
          <w:pPr>
            <w:pStyle w:val="TDC1"/>
            <w:tabs>
              <w:tab w:val="left" w:pos="440"/>
              <w:tab w:val="right" w:leader="dot" w:pos="9410"/>
            </w:tabs>
            <w:rPr>
              <w:rFonts w:asciiTheme="minorHAnsi" w:eastAsiaTheme="minorEastAsia" w:hAnsiTheme="minorHAnsi" w:cstheme="minorBidi"/>
              <w:noProof/>
              <w:color w:val="auto"/>
              <w:szCs w:val="22"/>
            </w:rPr>
          </w:pPr>
          <w:hyperlink w:anchor="_Toc145672305" w:history="1">
            <w:r w:rsidR="004E6696" w:rsidRPr="00331840">
              <w:rPr>
                <w:rStyle w:val="Hipervnculo"/>
                <w:rFonts w:cs="Arial"/>
                <w:noProof/>
              </w:rPr>
              <w:t>8.</w:t>
            </w:r>
            <w:r w:rsidR="004E6696">
              <w:rPr>
                <w:rFonts w:asciiTheme="minorHAnsi" w:eastAsiaTheme="minorEastAsia" w:hAnsiTheme="minorHAnsi" w:cstheme="minorBidi"/>
                <w:noProof/>
                <w:color w:val="auto"/>
                <w:szCs w:val="22"/>
              </w:rPr>
              <w:tab/>
            </w:r>
            <w:r w:rsidR="004E6696" w:rsidRPr="00331840">
              <w:rPr>
                <w:rStyle w:val="Hipervnculo"/>
                <w:rFonts w:cs="Arial"/>
                <w:noProof/>
              </w:rPr>
              <w:t>METODOLOGÍA DE EVALUACIÓN DE EFICIENCIA DE COMBUSTIÓN EN TEA</w:t>
            </w:r>
            <w:r w:rsidR="004E6696">
              <w:rPr>
                <w:noProof/>
                <w:webHidden/>
              </w:rPr>
              <w:tab/>
            </w:r>
            <w:r w:rsidR="004E6696">
              <w:rPr>
                <w:noProof/>
                <w:webHidden/>
              </w:rPr>
              <w:fldChar w:fldCharType="begin"/>
            </w:r>
            <w:r w:rsidR="004E6696">
              <w:rPr>
                <w:noProof/>
                <w:webHidden/>
              </w:rPr>
              <w:instrText xml:space="preserve"> PAGEREF _Toc145672305 \h </w:instrText>
            </w:r>
            <w:r w:rsidR="004E6696">
              <w:rPr>
                <w:noProof/>
                <w:webHidden/>
              </w:rPr>
            </w:r>
            <w:r w:rsidR="004E6696">
              <w:rPr>
                <w:noProof/>
                <w:webHidden/>
              </w:rPr>
              <w:fldChar w:fldCharType="separate"/>
            </w:r>
            <w:r w:rsidR="003A7D83">
              <w:rPr>
                <w:noProof/>
                <w:webHidden/>
              </w:rPr>
              <w:t>11</w:t>
            </w:r>
            <w:r w:rsidR="004E6696">
              <w:rPr>
                <w:noProof/>
                <w:webHidden/>
              </w:rPr>
              <w:fldChar w:fldCharType="end"/>
            </w:r>
          </w:hyperlink>
        </w:p>
        <w:p w14:paraId="3F22FF58" w14:textId="2503B8EA" w:rsidR="004E6696" w:rsidRDefault="00AB45E0">
          <w:pPr>
            <w:pStyle w:val="TDC2"/>
            <w:tabs>
              <w:tab w:val="left" w:pos="880"/>
              <w:tab w:val="right" w:leader="dot" w:pos="9410"/>
            </w:tabs>
            <w:rPr>
              <w:rFonts w:asciiTheme="minorHAnsi" w:eastAsiaTheme="minorEastAsia" w:hAnsiTheme="minorHAnsi" w:cstheme="minorBidi"/>
              <w:noProof/>
              <w:color w:val="auto"/>
              <w:szCs w:val="22"/>
            </w:rPr>
          </w:pPr>
          <w:hyperlink w:anchor="_Toc145672306" w:history="1">
            <w:r w:rsidR="004E6696" w:rsidRPr="00331840">
              <w:rPr>
                <w:rStyle w:val="Hipervnculo"/>
                <w:noProof/>
              </w:rPr>
              <w:t>8.1.</w:t>
            </w:r>
            <w:r w:rsidR="004E6696">
              <w:rPr>
                <w:rFonts w:asciiTheme="minorHAnsi" w:eastAsiaTheme="minorEastAsia" w:hAnsiTheme="minorHAnsi" w:cstheme="minorBidi"/>
                <w:noProof/>
                <w:color w:val="auto"/>
                <w:szCs w:val="22"/>
              </w:rPr>
              <w:tab/>
            </w:r>
            <w:r w:rsidR="004E6696" w:rsidRPr="00331840">
              <w:rPr>
                <w:rStyle w:val="Hipervnculo"/>
                <w:noProof/>
              </w:rPr>
              <w:t>Metodología Directa</w:t>
            </w:r>
            <w:r w:rsidR="004E6696">
              <w:rPr>
                <w:noProof/>
                <w:webHidden/>
              </w:rPr>
              <w:tab/>
            </w:r>
            <w:r w:rsidR="004E6696">
              <w:rPr>
                <w:noProof/>
                <w:webHidden/>
              </w:rPr>
              <w:fldChar w:fldCharType="begin"/>
            </w:r>
            <w:r w:rsidR="004E6696">
              <w:rPr>
                <w:noProof/>
                <w:webHidden/>
              </w:rPr>
              <w:instrText xml:space="preserve"> PAGEREF _Toc145672306 \h </w:instrText>
            </w:r>
            <w:r w:rsidR="004E6696">
              <w:rPr>
                <w:noProof/>
                <w:webHidden/>
              </w:rPr>
            </w:r>
            <w:r w:rsidR="004E6696">
              <w:rPr>
                <w:noProof/>
                <w:webHidden/>
              </w:rPr>
              <w:fldChar w:fldCharType="separate"/>
            </w:r>
            <w:r w:rsidR="003A7D83">
              <w:rPr>
                <w:noProof/>
                <w:webHidden/>
              </w:rPr>
              <w:t>11</w:t>
            </w:r>
            <w:r w:rsidR="004E6696">
              <w:rPr>
                <w:noProof/>
                <w:webHidden/>
              </w:rPr>
              <w:fldChar w:fldCharType="end"/>
            </w:r>
          </w:hyperlink>
        </w:p>
        <w:p w14:paraId="3CAAB799" w14:textId="49003057" w:rsidR="004E6696" w:rsidRDefault="00AB45E0">
          <w:pPr>
            <w:pStyle w:val="TDC2"/>
            <w:tabs>
              <w:tab w:val="left" w:pos="880"/>
              <w:tab w:val="right" w:leader="dot" w:pos="9410"/>
            </w:tabs>
            <w:rPr>
              <w:rFonts w:asciiTheme="minorHAnsi" w:eastAsiaTheme="minorEastAsia" w:hAnsiTheme="minorHAnsi" w:cstheme="minorBidi"/>
              <w:noProof/>
              <w:color w:val="auto"/>
              <w:szCs w:val="22"/>
            </w:rPr>
          </w:pPr>
          <w:hyperlink w:anchor="_Toc145672307" w:history="1">
            <w:r w:rsidR="004E6696" w:rsidRPr="00331840">
              <w:rPr>
                <w:rStyle w:val="Hipervnculo"/>
                <w:noProof/>
              </w:rPr>
              <w:t>8.2.</w:t>
            </w:r>
            <w:r w:rsidR="004E6696">
              <w:rPr>
                <w:rFonts w:asciiTheme="minorHAnsi" w:eastAsiaTheme="minorEastAsia" w:hAnsiTheme="minorHAnsi" w:cstheme="minorBidi"/>
                <w:noProof/>
                <w:color w:val="auto"/>
                <w:szCs w:val="22"/>
              </w:rPr>
              <w:tab/>
            </w:r>
            <w:r w:rsidR="004E6696" w:rsidRPr="00331840">
              <w:rPr>
                <w:rStyle w:val="Hipervnculo"/>
                <w:noProof/>
              </w:rPr>
              <w:t>Metodología Indirecta</w:t>
            </w:r>
            <w:r w:rsidR="004E6696">
              <w:rPr>
                <w:noProof/>
                <w:webHidden/>
              </w:rPr>
              <w:tab/>
            </w:r>
            <w:r w:rsidR="004E6696">
              <w:rPr>
                <w:noProof/>
                <w:webHidden/>
              </w:rPr>
              <w:fldChar w:fldCharType="begin"/>
            </w:r>
            <w:r w:rsidR="004E6696">
              <w:rPr>
                <w:noProof/>
                <w:webHidden/>
              </w:rPr>
              <w:instrText xml:space="preserve"> PAGEREF _Toc145672307 \h </w:instrText>
            </w:r>
            <w:r w:rsidR="004E6696">
              <w:rPr>
                <w:noProof/>
                <w:webHidden/>
              </w:rPr>
            </w:r>
            <w:r w:rsidR="004E6696">
              <w:rPr>
                <w:noProof/>
                <w:webHidden/>
              </w:rPr>
              <w:fldChar w:fldCharType="separate"/>
            </w:r>
            <w:r w:rsidR="003A7D83">
              <w:rPr>
                <w:noProof/>
                <w:webHidden/>
              </w:rPr>
              <w:t>12</w:t>
            </w:r>
            <w:r w:rsidR="004E6696">
              <w:rPr>
                <w:noProof/>
                <w:webHidden/>
              </w:rPr>
              <w:fldChar w:fldCharType="end"/>
            </w:r>
          </w:hyperlink>
        </w:p>
        <w:p w14:paraId="7C52403F" w14:textId="0BD9E8CD" w:rsidR="004E6696" w:rsidRDefault="00AB45E0">
          <w:pPr>
            <w:pStyle w:val="TDC1"/>
            <w:tabs>
              <w:tab w:val="left" w:pos="440"/>
              <w:tab w:val="right" w:leader="dot" w:pos="9410"/>
            </w:tabs>
            <w:rPr>
              <w:rFonts w:asciiTheme="minorHAnsi" w:eastAsiaTheme="minorEastAsia" w:hAnsiTheme="minorHAnsi" w:cstheme="minorBidi"/>
              <w:noProof/>
              <w:color w:val="auto"/>
              <w:szCs w:val="22"/>
            </w:rPr>
          </w:pPr>
          <w:hyperlink w:anchor="_Toc145672308" w:history="1">
            <w:r w:rsidR="004E6696" w:rsidRPr="00331840">
              <w:rPr>
                <w:rStyle w:val="Hipervnculo"/>
                <w:rFonts w:cs="Arial"/>
                <w:noProof/>
              </w:rPr>
              <w:t>9.</w:t>
            </w:r>
            <w:r w:rsidR="004E6696">
              <w:rPr>
                <w:rFonts w:asciiTheme="minorHAnsi" w:eastAsiaTheme="minorEastAsia" w:hAnsiTheme="minorHAnsi" w:cstheme="minorBidi"/>
                <w:noProof/>
                <w:color w:val="auto"/>
                <w:szCs w:val="22"/>
              </w:rPr>
              <w:tab/>
            </w:r>
            <w:r w:rsidR="004E6696" w:rsidRPr="00331840">
              <w:rPr>
                <w:rStyle w:val="Hipervnculo"/>
                <w:rFonts w:cs="Arial"/>
                <w:noProof/>
              </w:rPr>
              <w:t xml:space="preserve">EVALUACIÓN DE LA EFICIENCIA DE </w:t>
            </w:r>
            <w:r w:rsidR="007126F9">
              <w:rPr>
                <w:rStyle w:val="Hipervnculo"/>
                <w:rFonts w:cs="Arial"/>
                <w:noProof/>
              </w:rPr>
              <w:t xml:space="preserve">LA </w:t>
            </w:r>
            <w:r w:rsidR="004E6696" w:rsidRPr="00331840">
              <w:rPr>
                <w:rStyle w:val="Hipervnculo"/>
                <w:rFonts w:cs="Arial"/>
                <w:noProof/>
              </w:rPr>
              <w:t>TEA</w:t>
            </w:r>
            <w:r w:rsidR="004E6696">
              <w:rPr>
                <w:noProof/>
                <w:webHidden/>
              </w:rPr>
              <w:tab/>
            </w:r>
            <w:r w:rsidR="004E6696">
              <w:rPr>
                <w:noProof/>
                <w:webHidden/>
              </w:rPr>
              <w:fldChar w:fldCharType="begin"/>
            </w:r>
            <w:r w:rsidR="004E6696">
              <w:rPr>
                <w:noProof/>
                <w:webHidden/>
              </w:rPr>
              <w:instrText xml:space="preserve"> PAGEREF _Toc145672308 \h </w:instrText>
            </w:r>
            <w:r w:rsidR="004E6696">
              <w:rPr>
                <w:noProof/>
                <w:webHidden/>
              </w:rPr>
            </w:r>
            <w:r w:rsidR="004E6696">
              <w:rPr>
                <w:noProof/>
                <w:webHidden/>
              </w:rPr>
              <w:fldChar w:fldCharType="separate"/>
            </w:r>
            <w:r w:rsidR="003A7D83">
              <w:rPr>
                <w:noProof/>
                <w:webHidden/>
              </w:rPr>
              <w:t>13</w:t>
            </w:r>
            <w:r w:rsidR="004E6696">
              <w:rPr>
                <w:noProof/>
                <w:webHidden/>
              </w:rPr>
              <w:fldChar w:fldCharType="end"/>
            </w:r>
          </w:hyperlink>
        </w:p>
        <w:p w14:paraId="7A779EA7" w14:textId="588913BC" w:rsidR="004E6696" w:rsidRDefault="00AB45E0">
          <w:pPr>
            <w:pStyle w:val="TDC1"/>
            <w:tabs>
              <w:tab w:val="left" w:pos="660"/>
              <w:tab w:val="right" w:leader="dot" w:pos="9410"/>
            </w:tabs>
            <w:rPr>
              <w:rFonts w:asciiTheme="minorHAnsi" w:eastAsiaTheme="minorEastAsia" w:hAnsiTheme="minorHAnsi" w:cstheme="minorBidi"/>
              <w:noProof/>
              <w:color w:val="auto"/>
              <w:szCs w:val="22"/>
            </w:rPr>
          </w:pPr>
          <w:hyperlink w:anchor="_Toc145672309" w:history="1">
            <w:r w:rsidR="004E6696" w:rsidRPr="00331840">
              <w:rPr>
                <w:rStyle w:val="Hipervnculo"/>
                <w:noProof/>
              </w:rPr>
              <w:t>10.</w:t>
            </w:r>
            <w:r w:rsidR="004E6696">
              <w:rPr>
                <w:rFonts w:asciiTheme="minorHAnsi" w:eastAsiaTheme="minorEastAsia" w:hAnsiTheme="minorHAnsi" w:cstheme="minorBidi"/>
                <w:noProof/>
                <w:color w:val="auto"/>
                <w:szCs w:val="22"/>
              </w:rPr>
              <w:tab/>
            </w:r>
            <w:r w:rsidR="004E6696" w:rsidRPr="00331840">
              <w:rPr>
                <w:rStyle w:val="Hipervnculo"/>
                <w:noProof/>
              </w:rPr>
              <w:t>PERIODICIDAD DE LA EVALUACIÓN DE EFICIENCIA DE COMBUSTIÓN EN TEA</w:t>
            </w:r>
            <w:r w:rsidR="004E6696">
              <w:rPr>
                <w:noProof/>
                <w:webHidden/>
              </w:rPr>
              <w:tab/>
            </w:r>
            <w:r w:rsidR="004E6696">
              <w:rPr>
                <w:noProof/>
                <w:webHidden/>
              </w:rPr>
              <w:fldChar w:fldCharType="begin"/>
            </w:r>
            <w:r w:rsidR="004E6696">
              <w:rPr>
                <w:noProof/>
                <w:webHidden/>
              </w:rPr>
              <w:instrText xml:space="preserve"> PAGEREF _Toc145672309 \h </w:instrText>
            </w:r>
            <w:r w:rsidR="004E6696">
              <w:rPr>
                <w:noProof/>
                <w:webHidden/>
              </w:rPr>
            </w:r>
            <w:r w:rsidR="004E6696">
              <w:rPr>
                <w:noProof/>
                <w:webHidden/>
              </w:rPr>
              <w:fldChar w:fldCharType="separate"/>
            </w:r>
            <w:r w:rsidR="003A7D83">
              <w:rPr>
                <w:noProof/>
                <w:webHidden/>
              </w:rPr>
              <w:t>13</w:t>
            </w:r>
            <w:r w:rsidR="004E6696">
              <w:rPr>
                <w:noProof/>
                <w:webHidden/>
              </w:rPr>
              <w:fldChar w:fldCharType="end"/>
            </w:r>
          </w:hyperlink>
        </w:p>
        <w:p w14:paraId="5A0E70EA" w14:textId="1849DDA1" w:rsidR="004E6696" w:rsidRDefault="00AB45E0">
          <w:pPr>
            <w:pStyle w:val="TDC1"/>
            <w:tabs>
              <w:tab w:val="left" w:pos="660"/>
              <w:tab w:val="right" w:leader="dot" w:pos="9410"/>
            </w:tabs>
            <w:rPr>
              <w:rFonts w:asciiTheme="minorHAnsi" w:eastAsiaTheme="minorEastAsia" w:hAnsiTheme="minorHAnsi" w:cstheme="minorBidi"/>
              <w:noProof/>
              <w:color w:val="auto"/>
              <w:szCs w:val="22"/>
            </w:rPr>
          </w:pPr>
          <w:hyperlink w:anchor="_Toc145672310" w:history="1">
            <w:r w:rsidR="004E6696" w:rsidRPr="00331840">
              <w:rPr>
                <w:rStyle w:val="Hipervnculo"/>
                <w:noProof/>
              </w:rPr>
              <w:t>11.</w:t>
            </w:r>
            <w:r w:rsidR="004E6696">
              <w:rPr>
                <w:rFonts w:asciiTheme="minorHAnsi" w:eastAsiaTheme="minorEastAsia" w:hAnsiTheme="minorHAnsi" w:cstheme="minorBidi"/>
                <w:noProof/>
                <w:color w:val="auto"/>
                <w:szCs w:val="22"/>
              </w:rPr>
              <w:tab/>
            </w:r>
            <w:r w:rsidR="004E6696" w:rsidRPr="00331840">
              <w:rPr>
                <w:rStyle w:val="Hipervnculo"/>
                <w:noProof/>
              </w:rPr>
              <w:t>PRESENTACIÓN Y ESTRUCTURA DEL INFORME DE EFICIENCIA DE COMBUSTIÓN – IEC.</w:t>
            </w:r>
            <w:r w:rsidR="004E6696">
              <w:rPr>
                <w:noProof/>
                <w:webHidden/>
              </w:rPr>
              <w:tab/>
            </w:r>
            <w:r w:rsidR="004E6696">
              <w:rPr>
                <w:noProof/>
                <w:webHidden/>
              </w:rPr>
              <w:fldChar w:fldCharType="begin"/>
            </w:r>
            <w:r w:rsidR="004E6696">
              <w:rPr>
                <w:noProof/>
                <w:webHidden/>
              </w:rPr>
              <w:instrText xml:space="preserve"> PAGEREF _Toc145672310 \h </w:instrText>
            </w:r>
            <w:r w:rsidR="004E6696">
              <w:rPr>
                <w:noProof/>
                <w:webHidden/>
              </w:rPr>
            </w:r>
            <w:r w:rsidR="004E6696">
              <w:rPr>
                <w:noProof/>
                <w:webHidden/>
              </w:rPr>
              <w:fldChar w:fldCharType="separate"/>
            </w:r>
            <w:r w:rsidR="003A7D83">
              <w:rPr>
                <w:noProof/>
                <w:webHidden/>
              </w:rPr>
              <w:t>13</w:t>
            </w:r>
            <w:r w:rsidR="004E6696">
              <w:rPr>
                <w:noProof/>
                <w:webHidden/>
              </w:rPr>
              <w:fldChar w:fldCharType="end"/>
            </w:r>
          </w:hyperlink>
        </w:p>
        <w:p w14:paraId="770EB1C6" w14:textId="372002E0" w:rsidR="004E6696" w:rsidRDefault="00AB45E0">
          <w:pPr>
            <w:pStyle w:val="TDC1"/>
            <w:tabs>
              <w:tab w:val="left" w:pos="660"/>
              <w:tab w:val="right" w:leader="dot" w:pos="9410"/>
            </w:tabs>
            <w:rPr>
              <w:rFonts w:asciiTheme="minorHAnsi" w:eastAsiaTheme="minorEastAsia" w:hAnsiTheme="minorHAnsi" w:cstheme="minorBidi"/>
              <w:noProof/>
              <w:color w:val="auto"/>
              <w:szCs w:val="22"/>
            </w:rPr>
          </w:pPr>
          <w:hyperlink w:anchor="_Toc145672311" w:history="1">
            <w:r w:rsidR="004E6696" w:rsidRPr="00331840">
              <w:rPr>
                <w:rStyle w:val="Hipervnculo"/>
                <w:noProof/>
              </w:rPr>
              <w:t>12.</w:t>
            </w:r>
            <w:r w:rsidR="004E6696">
              <w:rPr>
                <w:rFonts w:asciiTheme="minorHAnsi" w:eastAsiaTheme="minorEastAsia" w:hAnsiTheme="minorHAnsi" w:cstheme="minorBidi"/>
                <w:noProof/>
                <w:color w:val="auto"/>
                <w:szCs w:val="22"/>
              </w:rPr>
              <w:tab/>
            </w:r>
            <w:r w:rsidR="004E6696" w:rsidRPr="00331840">
              <w:rPr>
                <w:rStyle w:val="Hipervnculo"/>
                <w:noProof/>
              </w:rPr>
              <w:t>MECANISMO LEGAL PARA EL PRONUNCIAMIENTO DE LA ANH COMO ENTE FISCALIZADOR</w:t>
            </w:r>
            <w:r w:rsidR="004E6696">
              <w:rPr>
                <w:noProof/>
                <w:webHidden/>
              </w:rPr>
              <w:tab/>
            </w:r>
            <w:r w:rsidR="004E6696">
              <w:rPr>
                <w:noProof/>
                <w:webHidden/>
              </w:rPr>
              <w:fldChar w:fldCharType="begin"/>
            </w:r>
            <w:r w:rsidR="004E6696">
              <w:rPr>
                <w:noProof/>
                <w:webHidden/>
              </w:rPr>
              <w:instrText xml:space="preserve"> PAGEREF _Toc145672311 \h </w:instrText>
            </w:r>
            <w:r w:rsidR="004E6696">
              <w:rPr>
                <w:noProof/>
                <w:webHidden/>
              </w:rPr>
            </w:r>
            <w:r w:rsidR="004E6696">
              <w:rPr>
                <w:noProof/>
                <w:webHidden/>
              </w:rPr>
              <w:fldChar w:fldCharType="separate"/>
            </w:r>
            <w:r w:rsidR="003A7D83">
              <w:rPr>
                <w:noProof/>
                <w:webHidden/>
              </w:rPr>
              <w:t>15</w:t>
            </w:r>
            <w:r w:rsidR="004E6696">
              <w:rPr>
                <w:noProof/>
                <w:webHidden/>
              </w:rPr>
              <w:fldChar w:fldCharType="end"/>
            </w:r>
          </w:hyperlink>
        </w:p>
        <w:p w14:paraId="09C6E0EF" w14:textId="3CFEB635" w:rsidR="004E6696" w:rsidRDefault="00AB45E0">
          <w:pPr>
            <w:pStyle w:val="TDC1"/>
            <w:tabs>
              <w:tab w:val="left" w:pos="660"/>
              <w:tab w:val="right" w:leader="dot" w:pos="9410"/>
            </w:tabs>
            <w:rPr>
              <w:rFonts w:asciiTheme="minorHAnsi" w:eastAsiaTheme="minorEastAsia" w:hAnsiTheme="minorHAnsi" w:cstheme="minorBidi"/>
              <w:noProof/>
              <w:color w:val="auto"/>
              <w:szCs w:val="22"/>
            </w:rPr>
          </w:pPr>
          <w:hyperlink w:anchor="_Toc145672312" w:history="1">
            <w:r w:rsidR="004E6696" w:rsidRPr="00331840">
              <w:rPr>
                <w:rStyle w:val="Hipervnculo"/>
                <w:noProof/>
              </w:rPr>
              <w:t>13.</w:t>
            </w:r>
            <w:r w:rsidR="004E6696">
              <w:rPr>
                <w:rFonts w:asciiTheme="minorHAnsi" w:eastAsiaTheme="minorEastAsia" w:hAnsiTheme="minorHAnsi" w:cstheme="minorBidi"/>
                <w:noProof/>
                <w:color w:val="auto"/>
                <w:szCs w:val="22"/>
              </w:rPr>
              <w:tab/>
            </w:r>
            <w:r w:rsidR="004E6696" w:rsidRPr="00331840">
              <w:rPr>
                <w:rStyle w:val="Hipervnculo"/>
                <w:noProof/>
              </w:rPr>
              <w:t>REFERENCIAS</w:t>
            </w:r>
            <w:r w:rsidR="004E6696">
              <w:rPr>
                <w:noProof/>
                <w:webHidden/>
              </w:rPr>
              <w:tab/>
            </w:r>
            <w:r w:rsidR="004E6696">
              <w:rPr>
                <w:noProof/>
                <w:webHidden/>
              </w:rPr>
              <w:fldChar w:fldCharType="begin"/>
            </w:r>
            <w:r w:rsidR="004E6696">
              <w:rPr>
                <w:noProof/>
                <w:webHidden/>
              </w:rPr>
              <w:instrText xml:space="preserve"> PAGEREF _Toc145672312 \h </w:instrText>
            </w:r>
            <w:r w:rsidR="004E6696">
              <w:rPr>
                <w:noProof/>
                <w:webHidden/>
              </w:rPr>
            </w:r>
            <w:r w:rsidR="004E6696">
              <w:rPr>
                <w:noProof/>
                <w:webHidden/>
              </w:rPr>
              <w:fldChar w:fldCharType="separate"/>
            </w:r>
            <w:r w:rsidR="003A7D83">
              <w:rPr>
                <w:noProof/>
                <w:webHidden/>
              </w:rPr>
              <w:t>15</w:t>
            </w:r>
            <w:r w:rsidR="004E6696">
              <w:rPr>
                <w:noProof/>
                <w:webHidden/>
              </w:rPr>
              <w:fldChar w:fldCharType="end"/>
            </w:r>
          </w:hyperlink>
        </w:p>
        <w:p w14:paraId="12EFE182" w14:textId="673A9AFB" w:rsidR="00FD7836" w:rsidRDefault="00FD7836">
          <w:r>
            <w:rPr>
              <w:b/>
              <w:bCs/>
              <w:lang w:val="es-ES"/>
            </w:rPr>
            <w:fldChar w:fldCharType="end"/>
          </w:r>
        </w:p>
      </w:sdtContent>
    </w:sdt>
    <w:p w14:paraId="25D4B704" w14:textId="556AE9F2" w:rsidR="00FD7836" w:rsidRDefault="00FD7836" w:rsidP="00740E4B">
      <w:pPr>
        <w:jc w:val="both"/>
        <w:rPr>
          <w:rFonts w:cs="Arial"/>
          <w:b/>
          <w:color w:val="auto"/>
          <w:szCs w:val="22"/>
          <w:u w:val="single"/>
        </w:rPr>
      </w:pPr>
    </w:p>
    <w:p w14:paraId="019DD4E4" w14:textId="4D9FADF1" w:rsidR="00142F28" w:rsidRDefault="00142F28" w:rsidP="00740E4B">
      <w:pPr>
        <w:jc w:val="both"/>
        <w:rPr>
          <w:rFonts w:cs="Arial"/>
          <w:b/>
          <w:color w:val="auto"/>
          <w:szCs w:val="22"/>
          <w:u w:val="single"/>
        </w:rPr>
      </w:pPr>
    </w:p>
    <w:p w14:paraId="01E0C8AD" w14:textId="277F4B53" w:rsidR="00142F28" w:rsidRDefault="00142F28" w:rsidP="00740E4B">
      <w:pPr>
        <w:jc w:val="both"/>
        <w:rPr>
          <w:rFonts w:cs="Arial"/>
          <w:b/>
          <w:color w:val="auto"/>
          <w:szCs w:val="22"/>
          <w:u w:val="single"/>
        </w:rPr>
      </w:pPr>
    </w:p>
    <w:p w14:paraId="597964A7" w14:textId="3D0635EB" w:rsidR="00142F28" w:rsidRDefault="00142F28" w:rsidP="00740E4B">
      <w:pPr>
        <w:jc w:val="both"/>
        <w:rPr>
          <w:rFonts w:cs="Arial"/>
          <w:b/>
          <w:color w:val="auto"/>
          <w:szCs w:val="22"/>
          <w:u w:val="single"/>
        </w:rPr>
      </w:pPr>
    </w:p>
    <w:p w14:paraId="324F3BF5" w14:textId="24BBF9B3" w:rsidR="0092434D" w:rsidRDefault="0092434D" w:rsidP="00740E4B">
      <w:pPr>
        <w:jc w:val="both"/>
        <w:rPr>
          <w:rFonts w:cs="Arial"/>
          <w:b/>
          <w:color w:val="auto"/>
          <w:szCs w:val="22"/>
          <w:u w:val="single"/>
        </w:rPr>
      </w:pPr>
    </w:p>
    <w:p w14:paraId="5A671DBE" w14:textId="40ECFA6F" w:rsidR="0092434D" w:rsidRDefault="0092434D" w:rsidP="00740E4B">
      <w:pPr>
        <w:jc w:val="both"/>
        <w:rPr>
          <w:rFonts w:cs="Arial"/>
          <w:b/>
          <w:color w:val="auto"/>
          <w:szCs w:val="22"/>
          <w:u w:val="single"/>
        </w:rPr>
      </w:pPr>
    </w:p>
    <w:p w14:paraId="2294CC13" w14:textId="011375A0" w:rsidR="00340CA7" w:rsidRDefault="00340CA7" w:rsidP="00740E4B">
      <w:pPr>
        <w:jc w:val="both"/>
        <w:rPr>
          <w:rFonts w:cs="Arial"/>
          <w:b/>
          <w:color w:val="auto"/>
          <w:szCs w:val="22"/>
          <w:u w:val="single"/>
        </w:rPr>
      </w:pPr>
    </w:p>
    <w:p w14:paraId="62941C04" w14:textId="6703BBB0" w:rsidR="00192B2E" w:rsidRDefault="00192B2E" w:rsidP="00740E4B">
      <w:pPr>
        <w:jc w:val="both"/>
        <w:rPr>
          <w:rFonts w:cs="Arial"/>
          <w:b/>
          <w:color w:val="auto"/>
          <w:szCs w:val="22"/>
          <w:u w:val="single"/>
        </w:rPr>
      </w:pPr>
    </w:p>
    <w:p w14:paraId="15444C5F" w14:textId="0EFB4FCE" w:rsidR="00192B2E" w:rsidRDefault="00192B2E" w:rsidP="00740E4B">
      <w:pPr>
        <w:jc w:val="both"/>
        <w:rPr>
          <w:rFonts w:cs="Arial"/>
          <w:b/>
          <w:color w:val="auto"/>
          <w:szCs w:val="22"/>
          <w:u w:val="single"/>
        </w:rPr>
      </w:pPr>
    </w:p>
    <w:p w14:paraId="5A31466F" w14:textId="29B2C935" w:rsidR="00192B2E" w:rsidRDefault="00192B2E" w:rsidP="00740E4B">
      <w:pPr>
        <w:jc w:val="both"/>
        <w:rPr>
          <w:rFonts w:cs="Arial"/>
          <w:b/>
          <w:color w:val="auto"/>
          <w:szCs w:val="22"/>
          <w:u w:val="single"/>
        </w:rPr>
      </w:pPr>
    </w:p>
    <w:p w14:paraId="4ADDB38B" w14:textId="5249AED0" w:rsidR="00192B2E" w:rsidRDefault="00192B2E" w:rsidP="00740E4B">
      <w:pPr>
        <w:jc w:val="both"/>
        <w:rPr>
          <w:rFonts w:cs="Arial"/>
          <w:b/>
          <w:color w:val="auto"/>
          <w:szCs w:val="22"/>
          <w:u w:val="single"/>
        </w:rPr>
      </w:pPr>
    </w:p>
    <w:p w14:paraId="6FC452C7" w14:textId="77777777" w:rsidR="00192B2E" w:rsidRDefault="00192B2E" w:rsidP="00740E4B">
      <w:pPr>
        <w:jc w:val="both"/>
        <w:rPr>
          <w:rFonts w:cs="Arial"/>
          <w:b/>
          <w:color w:val="auto"/>
          <w:szCs w:val="22"/>
          <w:u w:val="single"/>
        </w:rPr>
      </w:pPr>
    </w:p>
    <w:p w14:paraId="49DA5232" w14:textId="77777777" w:rsidR="00247B44" w:rsidRPr="00CE04B0" w:rsidRDefault="00247B44" w:rsidP="001B3530">
      <w:pPr>
        <w:pStyle w:val="Ttulo1"/>
        <w:numPr>
          <w:ilvl w:val="0"/>
          <w:numId w:val="5"/>
        </w:numPr>
        <w:rPr>
          <w:rFonts w:cs="Arial"/>
        </w:rPr>
      </w:pPr>
      <w:bookmarkStart w:id="1" w:name="_Toc138340210"/>
      <w:bookmarkStart w:id="2" w:name="_Toc145672292"/>
      <w:r w:rsidRPr="00CE04B0">
        <w:rPr>
          <w:rFonts w:cs="Arial"/>
        </w:rPr>
        <w:lastRenderedPageBreak/>
        <w:t>OBJETIVO</w:t>
      </w:r>
      <w:bookmarkEnd w:id="1"/>
      <w:bookmarkEnd w:id="2"/>
    </w:p>
    <w:p w14:paraId="57902380" w14:textId="77777777" w:rsidR="00247B44" w:rsidRPr="00F51F3D" w:rsidRDefault="00247B44" w:rsidP="00740E4B">
      <w:pPr>
        <w:jc w:val="both"/>
        <w:rPr>
          <w:rFonts w:cs="Arial"/>
          <w:b/>
          <w:color w:val="auto"/>
          <w:szCs w:val="22"/>
          <w:u w:val="single"/>
        </w:rPr>
      </w:pPr>
    </w:p>
    <w:p w14:paraId="0059427A" w14:textId="391FF06E" w:rsidR="00247B44" w:rsidRPr="00F51F3D" w:rsidRDefault="00F51F3D" w:rsidP="00740E4B">
      <w:pPr>
        <w:jc w:val="both"/>
        <w:rPr>
          <w:rFonts w:cs="Arial"/>
          <w:b/>
          <w:color w:val="auto"/>
          <w:szCs w:val="22"/>
          <w:u w:val="single"/>
        </w:rPr>
      </w:pPr>
      <w:r w:rsidRPr="00F51F3D">
        <w:rPr>
          <w:rFonts w:cs="Arial"/>
          <w:color w:val="auto"/>
          <w:szCs w:val="22"/>
        </w:rPr>
        <w:t>De</w:t>
      </w:r>
      <w:r w:rsidR="007126F9">
        <w:rPr>
          <w:rFonts w:cs="Arial"/>
          <w:color w:val="auto"/>
          <w:szCs w:val="22"/>
        </w:rPr>
        <w:t>terminar los</w:t>
      </w:r>
      <w:r w:rsidR="008B2505">
        <w:rPr>
          <w:rFonts w:cs="Arial"/>
          <w:color w:val="auto"/>
          <w:szCs w:val="22"/>
        </w:rPr>
        <w:t xml:space="preserve"> lineamientos técnicos </w:t>
      </w:r>
      <w:r w:rsidRPr="00F51F3D">
        <w:rPr>
          <w:rFonts w:cs="Arial"/>
          <w:color w:val="auto"/>
          <w:szCs w:val="22"/>
        </w:rPr>
        <w:t>a seguir por l</w:t>
      </w:r>
      <w:r w:rsidR="007126F9">
        <w:rPr>
          <w:rFonts w:cs="Arial"/>
          <w:color w:val="auto"/>
          <w:szCs w:val="22"/>
        </w:rPr>
        <w:t>as Compañías O</w:t>
      </w:r>
      <w:r w:rsidRPr="00F51F3D">
        <w:rPr>
          <w:rFonts w:cs="Arial"/>
          <w:color w:val="auto"/>
          <w:szCs w:val="22"/>
        </w:rPr>
        <w:t>perador</w:t>
      </w:r>
      <w:r w:rsidR="007126F9">
        <w:rPr>
          <w:rFonts w:cs="Arial"/>
          <w:color w:val="auto"/>
          <w:szCs w:val="22"/>
        </w:rPr>
        <w:t>a</w:t>
      </w:r>
      <w:r w:rsidRPr="00F51F3D">
        <w:rPr>
          <w:rFonts w:cs="Arial"/>
          <w:color w:val="auto"/>
          <w:szCs w:val="22"/>
        </w:rPr>
        <w:t>s encargad</w:t>
      </w:r>
      <w:r w:rsidR="007126F9">
        <w:rPr>
          <w:rFonts w:cs="Arial"/>
          <w:color w:val="auto"/>
          <w:szCs w:val="22"/>
        </w:rPr>
        <w:t>a</w:t>
      </w:r>
      <w:r w:rsidRPr="00F51F3D">
        <w:rPr>
          <w:rFonts w:cs="Arial"/>
          <w:color w:val="auto"/>
          <w:szCs w:val="22"/>
        </w:rPr>
        <w:t>s de la exploración y explotación de hidrocarburos, para la evaluación del rango mínimo de eficiencia</w:t>
      </w:r>
      <w:r w:rsidR="007126F9">
        <w:rPr>
          <w:rFonts w:cs="Arial"/>
          <w:color w:val="auto"/>
          <w:szCs w:val="22"/>
        </w:rPr>
        <w:t xml:space="preserve"> </w:t>
      </w:r>
      <w:r w:rsidR="007126F9" w:rsidRPr="00F51F3D">
        <w:rPr>
          <w:rFonts w:cs="Arial"/>
          <w:color w:val="auto"/>
          <w:szCs w:val="22"/>
        </w:rPr>
        <w:t xml:space="preserve">de las </w:t>
      </w:r>
      <w:r w:rsidR="007126F9">
        <w:rPr>
          <w:rFonts w:cs="Arial"/>
          <w:color w:val="auto"/>
          <w:szCs w:val="22"/>
        </w:rPr>
        <w:t>T</w:t>
      </w:r>
      <w:r w:rsidR="007126F9" w:rsidRPr="00F51F3D">
        <w:rPr>
          <w:rFonts w:cs="Arial"/>
          <w:color w:val="auto"/>
          <w:szCs w:val="22"/>
        </w:rPr>
        <w:t>eas</w:t>
      </w:r>
      <w:r w:rsidR="00E73223">
        <w:rPr>
          <w:rFonts w:cs="Arial"/>
          <w:color w:val="auto"/>
          <w:szCs w:val="22"/>
        </w:rPr>
        <w:t xml:space="preserve"> y </w:t>
      </w:r>
      <w:r w:rsidRPr="00F51F3D">
        <w:rPr>
          <w:rFonts w:cs="Arial"/>
          <w:color w:val="auto"/>
          <w:szCs w:val="22"/>
        </w:rPr>
        <w:t xml:space="preserve">para </w:t>
      </w:r>
      <w:r w:rsidR="00E73223">
        <w:rPr>
          <w:rFonts w:cs="Arial"/>
          <w:color w:val="auto"/>
          <w:szCs w:val="22"/>
        </w:rPr>
        <w:t xml:space="preserve">efectos de </w:t>
      </w:r>
      <w:r w:rsidRPr="00F51F3D">
        <w:rPr>
          <w:rFonts w:cs="Arial"/>
          <w:color w:val="auto"/>
          <w:szCs w:val="22"/>
        </w:rPr>
        <w:t xml:space="preserve">la presentación del informe de resultados del proceso de medición de eficiencia de las </w:t>
      </w:r>
      <w:r w:rsidR="00015E0A">
        <w:rPr>
          <w:rFonts w:cs="Arial"/>
          <w:color w:val="auto"/>
          <w:szCs w:val="22"/>
        </w:rPr>
        <w:t>T</w:t>
      </w:r>
      <w:r w:rsidRPr="00F51F3D">
        <w:rPr>
          <w:rFonts w:cs="Arial"/>
          <w:color w:val="auto"/>
          <w:szCs w:val="22"/>
        </w:rPr>
        <w:t xml:space="preserve">eas, </w:t>
      </w:r>
      <w:r w:rsidR="00E73223">
        <w:rPr>
          <w:rFonts w:cs="Arial"/>
          <w:color w:val="auto"/>
          <w:szCs w:val="22"/>
        </w:rPr>
        <w:t>de que trata</w:t>
      </w:r>
      <w:r w:rsidRPr="00F51F3D">
        <w:rPr>
          <w:rFonts w:cs="Arial"/>
          <w:color w:val="auto"/>
          <w:szCs w:val="22"/>
        </w:rPr>
        <w:t xml:space="preserve"> el artículo 3 de la Resolución 40317 de 2023 que modific</w:t>
      </w:r>
      <w:r w:rsidR="00E73223">
        <w:rPr>
          <w:rFonts w:cs="Arial"/>
          <w:color w:val="auto"/>
          <w:szCs w:val="22"/>
        </w:rPr>
        <w:t>ó</w:t>
      </w:r>
      <w:r w:rsidRPr="00F51F3D">
        <w:rPr>
          <w:rFonts w:cs="Arial"/>
          <w:color w:val="auto"/>
          <w:szCs w:val="22"/>
        </w:rPr>
        <w:t xml:space="preserve"> el artículo 22 de la Resolución 40066 de 2022</w:t>
      </w:r>
      <w:r w:rsidR="00E73223">
        <w:rPr>
          <w:rFonts w:cs="Arial"/>
          <w:color w:val="auto"/>
          <w:szCs w:val="22"/>
        </w:rPr>
        <w:t xml:space="preserve"> </w:t>
      </w:r>
      <w:r w:rsidRPr="00F51F3D">
        <w:rPr>
          <w:rFonts w:cs="Arial"/>
          <w:color w:val="auto"/>
          <w:szCs w:val="22"/>
        </w:rPr>
        <w:t>del Ministerio de Minas y Energía.</w:t>
      </w:r>
    </w:p>
    <w:p w14:paraId="7B57F1AC" w14:textId="77777777" w:rsidR="00247B44" w:rsidRPr="00BE293F" w:rsidRDefault="00247B44" w:rsidP="00740E4B">
      <w:pPr>
        <w:jc w:val="both"/>
        <w:rPr>
          <w:rFonts w:cs="Arial"/>
          <w:b/>
          <w:color w:val="4F81BD" w:themeColor="accent1"/>
          <w:szCs w:val="22"/>
          <w:u w:val="single"/>
        </w:rPr>
      </w:pPr>
    </w:p>
    <w:p w14:paraId="77DF4BE4" w14:textId="77777777" w:rsidR="00247B44" w:rsidRPr="00CE04B0" w:rsidRDefault="00247B44" w:rsidP="001B3530">
      <w:pPr>
        <w:pStyle w:val="Ttulo1"/>
        <w:numPr>
          <w:ilvl w:val="0"/>
          <w:numId w:val="5"/>
        </w:numPr>
        <w:rPr>
          <w:rFonts w:cs="Arial"/>
        </w:rPr>
      </w:pPr>
      <w:bookmarkStart w:id="3" w:name="_Toc138340211"/>
      <w:bookmarkStart w:id="4" w:name="_Toc145672293"/>
      <w:r w:rsidRPr="00CE04B0">
        <w:rPr>
          <w:rFonts w:cs="Arial"/>
        </w:rPr>
        <w:t>DIRIGIDO A</w:t>
      </w:r>
      <w:bookmarkEnd w:id="3"/>
      <w:bookmarkEnd w:id="4"/>
    </w:p>
    <w:p w14:paraId="4C6F7485" w14:textId="77777777" w:rsidR="00247B44" w:rsidRPr="00BE293F" w:rsidRDefault="00247B44" w:rsidP="00740E4B">
      <w:pPr>
        <w:jc w:val="both"/>
        <w:rPr>
          <w:rFonts w:cs="Arial"/>
          <w:color w:val="4F81BD" w:themeColor="accent1"/>
          <w:szCs w:val="22"/>
        </w:rPr>
      </w:pPr>
    </w:p>
    <w:p w14:paraId="6AD5F48C" w14:textId="2290A919" w:rsidR="00247B44" w:rsidRDefault="00247B44" w:rsidP="00740E4B">
      <w:pPr>
        <w:jc w:val="both"/>
        <w:rPr>
          <w:rFonts w:cs="Arial"/>
          <w:color w:val="auto"/>
          <w:szCs w:val="22"/>
        </w:rPr>
      </w:pPr>
      <w:r w:rsidRPr="00F51F3D">
        <w:rPr>
          <w:rFonts w:cs="Arial"/>
          <w:color w:val="auto"/>
          <w:szCs w:val="22"/>
        </w:rPr>
        <w:t xml:space="preserve">Responsables de las operaciones o actividades de exploración y explotación de hidrocarburos en áreas continentales y costa afuera ubicadas en el territorio nacional, acorde con el artículo </w:t>
      </w:r>
      <w:r w:rsidR="00F51F3D">
        <w:rPr>
          <w:rFonts w:cs="Arial"/>
          <w:color w:val="auto"/>
          <w:szCs w:val="22"/>
        </w:rPr>
        <w:t>3</w:t>
      </w:r>
      <w:r w:rsidRPr="00F51F3D">
        <w:rPr>
          <w:rFonts w:cs="Arial"/>
          <w:color w:val="auto"/>
          <w:szCs w:val="22"/>
        </w:rPr>
        <w:t xml:space="preserve"> de</w:t>
      </w:r>
      <w:r w:rsidR="00F51F3D">
        <w:rPr>
          <w:rFonts w:cs="Arial"/>
          <w:color w:val="auto"/>
          <w:szCs w:val="22"/>
        </w:rPr>
        <w:t xml:space="preserve"> la Resolución 40317 de 2023 que modific</w:t>
      </w:r>
      <w:r w:rsidR="005A5A59">
        <w:rPr>
          <w:rFonts w:cs="Arial"/>
          <w:color w:val="auto"/>
          <w:szCs w:val="22"/>
        </w:rPr>
        <w:t>ó</w:t>
      </w:r>
      <w:r w:rsidR="00F51F3D">
        <w:rPr>
          <w:rFonts w:cs="Arial"/>
          <w:color w:val="auto"/>
          <w:szCs w:val="22"/>
        </w:rPr>
        <w:t xml:space="preserve"> el artículo 22 de</w:t>
      </w:r>
      <w:r w:rsidRPr="00F51F3D">
        <w:rPr>
          <w:rFonts w:cs="Arial"/>
          <w:color w:val="auto"/>
          <w:szCs w:val="22"/>
        </w:rPr>
        <w:t xml:space="preserve"> la Resolución 40066 de 2022.</w:t>
      </w:r>
    </w:p>
    <w:p w14:paraId="2B456354" w14:textId="20005154" w:rsidR="00F51F3D" w:rsidRDefault="00F51F3D" w:rsidP="00740E4B">
      <w:pPr>
        <w:jc w:val="both"/>
        <w:rPr>
          <w:rFonts w:cs="Arial"/>
          <w:color w:val="auto"/>
          <w:szCs w:val="22"/>
        </w:rPr>
      </w:pPr>
    </w:p>
    <w:p w14:paraId="473CC5C1" w14:textId="60860375" w:rsidR="00F51F3D" w:rsidRPr="00F51F3D" w:rsidRDefault="00F51F3D" w:rsidP="00740E4B">
      <w:pPr>
        <w:jc w:val="both"/>
        <w:rPr>
          <w:rFonts w:cs="Arial"/>
          <w:color w:val="auto"/>
          <w:szCs w:val="22"/>
        </w:rPr>
      </w:pPr>
      <w:r w:rsidRPr="00DA63C3">
        <w:rPr>
          <w:rFonts w:cs="Arial"/>
          <w:b/>
          <w:bCs/>
          <w:color w:val="auto"/>
          <w:szCs w:val="22"/>
        </w:rPr>
        <w:t>Nota:</w:t>
      </w:r>
      <w:r w:rsidRPr="00F51F3D">
        <w:rPr>
          <w:rFonts w:cs="Arial"/>
          <w:color w:val="auto"/>
          <w:szCs w:val="22"/>
        </w:rPr>
        <w:t xml:space="preserve"> Los documentos de</w:t>
      </w:r>
      <w:r w:rsidR="009A348C">
        <w:rPr>
          <w:rFonts w:cs="Arial"/>
          <w:color w:val="auto"/>
          <w:szCs w:val="22"/>
        </w:rPr>
        <w:t>l</w:t>
      </w:r>
      <w:r w:rsidRPr="00F51F3D">
        <w:rPr>
          <w:rFonts w:cs="Arial"/>
          <w:color w:val="auto"/>
          <w:szCs w:val="22"/>
        </w:rPr>
        <w:t xml:space="preserve"> Informe de Inspección</w:t>
      </w:r>
      <w:r w:rsidR="00E73223">
        <w:rPr>
          <w:rFonts w:cs="Arial"/>
          <w:color w:val="auto"/>
          <w:szCs w:val="22"/>
        </w:rPr>
        <w:t>,</w:t>
      </w:r>
      <w:r w:rsidRPr="00F51F3D">
        <w:rPr>
          <w:rFonts w:cs="Arial"/>
          <w:color w:val="auto"/>
          <w:szCs w:val="22"/>
        </w:rPr>
        <w:t xml:space="preserve"> que acredita la medición de eficiencia de combustión en el proceso de quema de gas natural, </w:t>
      </w:r>
      <w:r w:rsidR="009A348C">
        <w:rPr>
          <w:rFonts w:cs="Arial"/>
          <w:color w:val="auto"/>
          <w:szCs w:val="22"/>
        </w:rPr>
        <w:t xml:space="preserve">la </w:t>
      </w:r>
      <w:r w:rsidRPr="00F51F3D">
        <w:rPr>
          <w:rFonts w:cs="Arial"/>
          <w:color w:val="auto"/>
          <w:szCs w:val="22"/>
        </w:rPr>
        <w:t xml:space="preserve">Declaración de Primera Parte de Conformidad de la medición de la eficiencia de combustión en el proceso de quema de gas natural y </w:t>
      </w:r>
      <w:r w:rsidR="009A348C">
        <w:rPr>
          <w:rFonts w:cs="Arial"/>
          <w:color w:val="auto"/>
          <w:szCs w:val="22"/>
        </w:rPr>
        <w:t xml:space="preserve">los </w:t>
      </w:r>
      <w:r w:rsidRPr="00F51F3D">
        <w:rPr>
          <w:rFonts w:cs="Arial"/>
          <w:color w:val="auto"/>
          <w:szCs w:val="22"/>
        </w:rPr>
        <w:t xml:space="preserve">demás que </w:t>
      </w:r>
      <w:r w:rsidR="00E73223">
        <w:rPr>
          <w:rFonts w:cs="Arial"/>
          <w:color w:val="auto"/>
          <w:szCs w:val="22"/>
        </w:rPr>
        <w:t>la</w:t>
      </w:r>
      <w:r w:rsidR="009A348C">
        <w:rPr>
          <w:rFonts w:cs="Arial"/>
          <w:color w:val="auto"/>
          <w:szCs w:val="22"/>
        </w:rPr>
        <w:t>s</w:t>
      </w:r>
      <w:r w:rsidR="00E73223" w:rsidRPr="00F51F3D">
        <w:rPr>
          <w:rFonts w:cs="Arial"/>
          <w:color w:val="auto"/>
          <w:szCs w:val="22"/>
        </w:rPr>
        <w:t xml:space="preserve"> </w:t>
      </w:r>
      <w:r w:rsidR="00E73223">
        <w:rPr>
          <w:rFonts w:cs="Arial"/>
          <w:color w:val="auto"/>
          <w:szCs w:val="22"/>
        </w:rPr>
        <w:t>O</w:t>
      </w:r>
      <w:r w:rsidRPr="00F51F3D">
        <w:rPr>
          <w:rFonts w:cs="Arial"/>
          <w:color w:val="auto"/>
          <w:szCs w:val="22"/>
        </w:rPr>
        <w:t>perador</w:t>
      </w:r>
      <w:r w:rsidR="00E73223">
        <w:rPr>
          <w:rFonts w:cs="Arial"/>
          <w:color w:val="auto"/>
          <w:szCs w:val="22"/>
        </w:rPr>
        <w:t>a</w:t>
      </w:r>
      <w:r w:rsidR="009A348C">
        <w:rPr>
          <w:rFonts w:cs="Arial"/>
          <w:color w:val="auto"/>
          <w:szCs w:val="22"/>
        </w:rPr>
        <w:t>s</w:t>
      </w:r>
      <w:r w:rsidRPr="00F51F3D">
        <w:rPr>
          <w:rFonts w:cs="Arial"/>
          <w:color w:val="auto"/>
          <w:szCs w:val="22"/>
        </w:rPr>
        <w:t xml:space="preserve"> entregue</w:t>
      </w:r>
      <w:r w:rsidR="009A348C">
        <w:rPr>
          <w:rFonts w:cs="Arial"/>
          <w:color w:val="auto"/>
          <w:szCs w:val="22"/>
        </w:rPr>
        <w:t>n</w:t>
      </w:r>
      <w:r w:rsidRPr="00F51F3D">
        <w:rPr>
          <w:rFonts w:cs="Arial"/>
          <w:color w:val="auto"/>
          <w:szCs w:val="22"/>
        </w:rPr>
        <w:t xml:space="preserve"> a la Agencia Nacional de Hidrocarburos</w:t>
      </w:r>
      <w:r w:rsidR="009A348C">
        <w:rPr>
          <w:rFonts w:cs="Arial"/>
          <w:color w:val="auto"/>
          <w:szCs w:val="22"/>
        </w:rPr>
        <w:t xml:space="preserve"> -</w:t>
      </w:r>
      <w:r w:rsidRPr="00F51F3D">
        <w:rPr>
          <w:rFonts w:cs="Arial"/>
          <w:color w:val="auto"/>
          <w:szCs w:val="22"/>
        </w:rPr>
        <w:t xml:space="preserve"> ANH, </w:t>
      </w:r>
      <w:r w:rsidRPr="00DA63C3">
        <w:rPr>
          <w:rFonts w:cs="Arial"/>
          <w:i/>
          <w:iCs/>
          <w:color w:val="auto"/>
          <w:szCs w:val="22"/>
        </w:rPr>
        <w:t xml:space="preserve">“deberán ser firmados por un </w:t>
      </w:r>
      <w:r w:rsidR="00E73223" w:rsidRPr="00DA63C3">
        <w:rPr>
          <w:rFonts w:cs="Arial"/>
          <w:i/>
          <w:iCs/>
          <w:color w:val="auto"/>
          <w:szCs w:val="22"/>
        </w:rPr>
        <w:t>I</w:t>
      </w:r>
      <w:r w:rsidRPr="00DA63C3">
        <w:rPr>
          <w:rFonts w:cs="Arial"/>
          <w:i/>
          <w:iCs/>
          <w:color w:val="auto"/>
          <w:szCs w:val="22"/>
        </w:rPr>
        <w:t xml:space="preserve">ngeniero de </w:t>
      </w:r>
      <w:r w:rsidR="00E73223" w:rsidRPr="00DA63C3">
        <w:rPr>
          <w:rFonts w:cs="Arial"/>
          <w:i/>
          <w:iCs/>
          <w:color w:val="auto"/>
          <w:szCs w:val="22"/>
        </w:rPr>
        <w:t>P</w:t>
      </w:r>
      <w:r w:rsidRPr="00DA63C3">
        <w:rPr>
          <w:rFonts w:cs="Arial"/>
          <w:i/>
          <w:iCs/>
          <w:color w:val="auto"/>
          <w:szCs w:val="22"/>
        </w:rPr>
        <w:t>etróleos con su respectiva matrícula profesional”,</w:t>
      </w:r>
      <w:r w:rsidRPr="00F51F3D">
        <w:rPr>
          <w:rFonts w:cs="Arial"/>
          <w:color w:val="auto"/>
          <w:szCs w:val="22"/>
        </w:rPr>
        <w:t xml:space="preserve"> tal como lo define el Parágrafo 1 del artículo 79 de la Resolución 40066 de 2022. En consecuencia, </w:t>
      </w:r>
      <w:r w:rsidR="00E73223">
        <w:rPr>
          <w:rFonts w:cs="Arial"/>
          <w:color w:val="auto"/>
          <w:szCs w:val="22"/>
        </w:rPr>
        <w:t>la</w:t>
      </w:r>
      <w:r w:rsidR="009A348C">
        <w:rPr>
          <w:rFonts w:cs="Arial"/>
          <w:color w:val="auto"/>
          <w:szCs w:val="22"/>
        </w:rPr>
        <w:t>s</w:t>
      </w:r>
      <w:r w:rsidR="00E73223" w:rsidRPr="00F51F3D">
        <w:rPr>
          <w:rFonts w:cs="Arial"/>
          <w:color w:val="auto"/>
          <w:szCs w:val="22"/>
        </w:rPr>
        <w:t xml:space="preserve"> </w:t>
      </w:r>
      <w:r w:rsidR="009A348C">
        <w:rPr>
          <w:rFonts w:cs="Arial"/>
          <w:color w:val="auto"/>
          <w:szCs w:val="22"/>
        </w:rPr>
        <w:t xml:space="preserve">Compañías </w:t>
      </w:r>
      <w:r w:rsidR="00E73223">
        <w:rPr>
          <w:rFonts w:cs="Arial"/>
          <w:color w:val="auto"/>
          <w:szCs w:val="22"/>
        </w:rPr>
        <w:t>O</w:t>
      </w:r>
      <w:r w:rsidRPr="00F51F3D">
        <w:rPr>
          <w:rFonts w:cs="Arial"/>
          <w:color w:val="auto"/>
          <w:szCs w:val="22"/>
        </w:rPr>
        <w:t>perador</w:t>
      </w:r>
      <w:r w:rsidR="00E73223">
        <w:rPr>
          <w:rFonts w:cs="Arial"/>
          <w:color w:val="auto"/>
          <w:szCs w:val="22"/>
        </w:rPr>
        <w:t>a</w:t>
      </w:r>
      <w:r w:rsidR="009A348C">
        <w:rPr>
          <w:rFonts w:cs="Arial"/>
          <w:color w:val="auto"/>
          <w:szCs w:val="22"/>
        </w:rPr>
        <w:t>s</w:t>
      </w:r>
      <w:r w:rsidRPr="00F51F3D">
        <w:rPr>
          <w:rFonts w:cs="Arial"/>
          <w:color w:val="auto"/>
          <w:szCs w:val="22"/>
        </w:rPr>
        <w:t xml:space="preserve"> deberá</w:t>
      </w:r>
      <w:r w:rsidR="009A348C">
        <w:rPr>
          <w:rFonts w:cs="Arial"/>
          <w:color w:val="auto"/>
          <w:szCs w:val="22"/>
        </w:rPr>
        <w:t>n</w:t>
      </w:r>
      <w:r w:rsidRPr="00F51F3D">
        <w:rPr>
          <w:rFonts w:cs="Arial"/>
          <w:color w:val="auto"/>
          <w:szCs w:val="22"/>
        </w:rPr>
        <w:t xml:space="preserve"> informar a la ANH: nombre, cargo, perfil profesional, tarjeta profesional y datos de contacto de la persona que firmará las comunicaciones e igualmente del responsable de la medición anual de la eficiencia de combustión en el proceso de quema de gas natural.</w:t>
      </w:r>
    </w:p>
    <w:p w14:paraId="4B05B89C" w14:textId="77777777" w:rsidR="00387A67" w:rsidRPr="006704E0" w:rsidRDefault="00387A67" w:rsidP="006704E0">
      <w:pPr>
        <w:rPr>
          <w:rFonts w:cs="Arial"/>
          <w:szCs w:val="22"/>
        </w:rPr>
      </w:pPr>
    </w:p>
    <w:p w14:paraId="3D5ADBF7" w14:textId="77777777" w:rsidR="00247B44" w:rsidRPr="00474CD3" w:rsidRDefault="00247B44" w:rsidP="007E1D9A">
      <w:pPr>
        <w:pStyle w:val="Ttulo1"/>
        <w:numPr>
          <w:ilvl w:val="0"/>
          <w:numId w:val="5"/>
        </w:numPr>
        <w:rPr>
          <w:rFonts w:cs="Arial"/>
        </w:rPr>
      </w:pPr>
      <w:bookmarkStart w:id="5" w:name="_Toc138340212"/>
      <w:bookmarkStart w:id="6" w:name="_Toc145672294"/>
      <w:r w:rsidRPr="00474CD3">
        <w:rPr>
          <w:rFonts w:cs="Arial"/>
        </w:rPr>
        <w:t>MARCO REGULATORIO</w:t>
      </w:r>
      <w:bookmarkEnd w:id="5"/>
      <w:bookmarkEnd w:id="6"/>
    </w:p>
    <w:p w14:paraId="61B56F2E" w14:textId="77777777" w:rsidR="00247B44" w:rsidRPr="00741092" w:rsidRDefault="00247B44" w:rsidP="00B90CD6">
      <w:pPr>
        <w:rPr>
          <w:rFonts w:cs="Arial"/>
          <w:b/>
          <w:color w:val="auto"/>
          <w:sz w:val="28"/>
          <w:szCs w:val="28"/>
          <w:shd w:val="clear" w:color="auto" w:fill="FFFFFF"/>
        </w:rPr>
      </w:pPr>
    </w:p>
    <w:p w14:paraId="185E133F" w14:textId="77777777" w:rsidR="007E1D9A" w:rsidRPr="007E1D9A" w:rsidRDefault="007E1D9A" w:rsidP="007E1D9A">
      <w:pPr>
        <w:pStyle w:val="Prrafodelista"/>
        <w:keepNext/>
        <w:keepLines/>
        <w:numPr>
          <w:ilvl w:val="0"/>
          <w:numId w:val="27"/>
        </w:numPr>
        <w:spacing w:after="151" w:line="250" w:lineRule="auto"/>
        <w:contextualSpacing w:val="0"/>
        <w:jc w:val="left"/>
        <w:outlineLvl w:val="1"/>
        <w:rPr>
          <w:rFonts w:eastAsia="Arial" w:cs="Arial"/>
          <w:b/>
          <w:bCs w:val="0"/>
          <w:vanish/>
          <w:color w:val="000000"/>
          <w:sz w:val="24"/>
          <w:szCs w:val="22"/>
          <w:u w:color="000000"/>
          <w:shd w:val="clear" w:color="auto" w:fill="FFFFFF"/>
          <w:lang w:eastAsia="es-CO"/>
        </w:rPr>
      </w:pPr>
      <w:bookmarkStart w:id="7" w:name="_Toc145665281"/>
      <w:bookmarkStart w:id="8" w:name="_Toc145665300"/>
      <w:bookmarkStart w:id="9" w:name="_Toc145672027"/>
      <w:bookmarkStart w:id="10" w:name="_Toc145672045"/>
      <w:bookmarkStart w:id="11" w:name="_Toc145672237"/>
      <w:bookmarkStart w:id="12" w:name="_Toc145672295"/>
      <w:bookmarkStart w:id="13" w:name="_Toc138340213"/>
      <w:bookmarkEnd w:id="7"/>
      <w:bookmarkEnd w:id="8"/>
      <w:bookmarkEnd w:id="9"/>
      <w:bookmarkEnd w:id="10"/>
      <w:bookmarkEnd w:id="11"/>
      <w:bookmarkEnd w:id="12"/>
    </w:p>
    <w:p w14:paraId="02E82C58" w14:textId="77777777" w:rsidR="007E1D9A" w:rsidRPr="007E1D9A" w:rsidRDefault="007E1D9A" w:rsidP="007E1D9A">
      <w:pPr>
        <w:pStyle w:val="Prrafodelista"/>
        <w:keepNext/>
        <w:keepLines/>
        <w:numPr>
          <w:ilvl w:val="0"/>
          <w:numId w:val="27"/>
        </w:numPr>
        <w:spacing w:after="151" w:line="250" w:lineRule="auto"/>
        <w:contextualSpacing w:val="0"/>
        <w:jc w:val="left"/>
        <w:outlineLvl w:val="1"/>
        <w:rPr>
          <w:rFonts w:eastAsia="Arial" w:cs="Arial"/>
          <w:b/>
          <w:bCs w:val="0"/>
          <w:vanish/>
          <w:color w:val="000000"/>
          <w:sz w:val="24"/>
          <w:szCs w:val="22"/>
          <w:u w:color="000000"/>
          <w:shd w:val="clear" w:color="auto" w:fill="FFFFFF"/>
          <w:lang w:eastAsia="es-CO"/>
        </w:rPr>
      </w:pPr>
      <w:bookmarkStart w:id="14" w:name="_Toc145665282"/>
      <w:bookmarkStart w:id="15" w:name="_Toc145665301"/>
      <w:bookmarkStart w:id="16" w:name="_Toc145672028"/>
      <w:bookmarkStart w:id="17" w:name="_Toc145672046"/>
      <w:bookmarkStart w:id="18" w:name="_Toc145672238"/>
      <w:bookmarkStart w:id="19" w:name="_Toc145672296"/>
      <w:bookmarkEnd w:id="14"/>
      <w:bookmarkEnd w:id="15"/>
      <w:bookmarkEnd w:id="16"/>
      <w:bookmarkEnd w:id="17"/>
      <w:bookmarkEnd w:id="18"/>
      <w:bookmarkEnd w:id="19"/>
    </w:p>
    <w:p w14:paraId="4E433E01" w14:textId="77777777" w:rsidR="007E1D9A" w:rsidRPr="007E1D9A" w:rsidRDefault="007E1D9A" w:rsidP="007E1D9A">
      <w:pPr>
        <w:pStyle w:val="Prrafodelista"/>
        <w:keepNext/>
        <w:keepLines/>
        <w:numPr>
          <w:ilvl w:val="0"/>
          <w:numId w:val="27"/>
        </w:numPr>
        <w:spacing w:after="151" w:line="250" w:lineRule="auto"/>
        <w:contextualSpacing w:val="0"/>
        <w:jc w:val="left"/>
        <w:outlineLvl w:val="1"/>
        <w:rPr>
          <w:rFonts w:eastAsia="Arial" w:cs="Arial"/>
          <w:b/>
          <w:bCs w:val="0"/>
          <w:vanish/>
          <w:color w:val="000000"/>
          <w:sz w:val="24"/>
          <w:szCs w:val="22"/>
          <w:u w:color="000000"/>
          <w:shd w:val="clear" w:color="auto" w:fill="FFFFFF"/>
          <w:lang w:eastAsia="es-CO"/>
        </w:rPr>
      </w:pPr>
      <w:bookmarkStart w:id="20" w:name="_Toc145665283"/>
      <w:bookmarkStart w:id="21" w:name="_Toc145665302"/>
      <w:bookmarkStart w:id="22" w:name="_Toc145672029"/>
      <w:bookmarkStart w:id="23" w:name="_Toc145672047"/>
      <w:bookmarkStart w:id="24" w:name="_Toc145672239"/>
      <w:bookmarkStart w:id="25" w:name="_Toc145672297"/>
      <w:bookmarkEnd w:id="20"/>
      <w:bookmarkEnd w:id="21"/>
      <w:bookmarkEnd w:id="22"/>
      <w:bookmarkEnd w:id="23"/>
      <w:bookmarkEnd w:id="24"/>
      <w:bookmarkEnd w:id="25"/>
    </w:p>
    <w:p w14:paraId="08772E2D" w14:textId="1FF9D3E8" w:rsidR="00247B44" w:rsidRPr="00741092" w:rsidRDefault="00247B44" w:rsidP="007E1D9A">
      <w:pPr>
        <w:pStyle w:val="Ttulo2"/>
        <w:numPr>
          <w:ilvl w:val="1"/>
          <w:numId w:val="27"/>
        </w:numPr>
        <w:rPr>
          <w:shd w:val="clear" w:color="auto" w:fill="FFFFFF"/>
        </w:rPr>
      </w:pPr>
      <w:bookmarkStart w:id="26" w:name="_Toc145672298"/>
      <w:r w:rsidRPr="00741092">
        <w:rPr>
          <w:shd w:val="clear" w:color="auto" w:fill="FFFFFF"/>
        </w:rPr>
        <w:t>Fiscalización</w:t>
      </w:r>
      <w:bookmarkEnd w:id="13"/>
      <w:bookmarkEnd w:id="26"/>
    </w:p>
    <w:p w14:paraId="5F332E7E" w14:textId="77777777" w:rsidR="00247B44" w:rsidRPr="00741092" w:rsidRDefault="00247B44" w:rsidP="001B3530">
      <w:pPr>
        <w:pStyle w:val="Prrafodelista"/>
        <w:ind w:left="1080"/>
        <w:rPr>
          <w:rFonts w:cs="Arial"/>
          <w:shd w:val="clear" w:color="auto" w:fill="FFFFFF"/>
        </w:rPr>
      </w:pPr>
    </w:p>
    <w:p w14:paraId="72DC509D" w14:textId="08B1C0C4" w:rsidR="00E73223" w:rsidRDefault="00E73223" w:rsidP="00E73223">
      <w:pPr>
        <w:jc w:val="both"/>
        <w:rPr>
          <w:rFonts w:cs="Arial"/>
          <w:szCs w:val="22"/>
          <w:lang w:val="es-ES"/>
        </w:rPr>
      </w:pPr>
      <w:r>
        <w:rPr>
          <w:rFonts w:cs="Arial"/>
          <w:szCs w:val="22"/>
          <w:lang w:val="es-ES"/>
        </w:rPr>
        <w:t>los antecedentes normativos en materia de fiscalización, se encuentran definidos en la siguiente norma</w:t>
      </w:r>
      <w:r w:rsidR="00FB57F5">
        <w:rPr>
          <w:rFonts w:cs="Arial"/>
          <w:szCs w:val="22"/>
          <w:lang w:val="es-ES"/>
        </w:rPr>
        <w:t>tividad</w:t>
      </w:r>
      <w:r>
        <w:rPr>
          <w:rFonts w:cs="Arial"/>
          <w:szCs w:val="22"/>
          <w:lang w:val="es-ES"/>
        </w:rPr>
        <w:t xml:space="preserve">: </w:t>
      </w:r>
    </w:p>
    <w:p w14:paraId="054D68D1" w14:textId="77777777" w:rsidR="00247B44" w:rsidRPr="00BE293F" w:rsidRDefault="00247B44" w:rsidP="00B90CD6">
      <w:pPr>
        <w:rPr>
          <w:rFonts w:cs="Arial"/>
          <w:color w:val="4F81BD" w:themeColor="accent1"/>
          <w:shd w:val="clear" w:color="auto" w:fill="FFFFFF"/>
        </w:rPr>
      </w:pPr>
    </w:p>
    <w:p w14:paraId="240D7192" w14:textId="1996277B" w:rsidR="00543860" w:rsidRDefault="00543860" w:rsidP="00543860">
      <w:pPr>
        <w:pStyle w:val="Prrafodelista"/>
        <w:numPr>
          <w:ilvl w:val="0"/>
          <w:numId w:val="2"/>
        </w:numPr>
        <w:rPr>
          <w:rFonts w:cs="Arial"/>
          <w:i/>
          <w:iCs/>
          <w:szCs w:val="22"/>
        </w:rPr>
      </w:pPr>
      <w:r>
        <w:rPr>
          <w:rFonts w:cs="Arial"/>
          <w:szCs w:val="22"/>
        </w:rPr>
        <w:t>A</w:t>
      </w:r>
      <w:r w:rsidRPr="00543860">
        <w:rPr>
          <w:rFonts w:cs="Arial"/>
          <w:szCs w:val="22"/>
        </w:rPr>
        <w:t xml:space="preserve">rtículo 332 de la Constitución Política: </w:t>
      </w:r>
      <w:r w:rsidRPr="006704E0">
        <w:rPr>
          <w:rFonts w:cs="Arial"/>
          <w:i/>
          <w:iCs/>
          <w:szCs w:val="22"/>
        </w:rPr>
        <w:t>“El Estado es propietario del subsuelo y de los recursos naturales no renovables, sin perjuicio de los derechos adquiridos y perfeccionados con arreglo a las leyes preexistentes”.</w:t>
      </w:r>
    </w:p>
    <w:p w14:paraId="30756BA8" w14:textId="77777777" w:rsidR="00543860" w:rsidRPr="006704E0" w:rsidRDefault="00543860" w:rsidP="006704E0">
      <w:pPr>
        <w:pStyle w:val="Prrafodelista"/>
        <w:rPr>
          <w:rFonts w:cs="Arial"/>
          <w:i/>
          <w:iCs/>
          <w:szCs w:val="22"/>
        </w:rPr>
      </w:pPr>
    </w:p>
    <w:p w14:paraId="3B6B7859" w14:textId="128BD242" w:rsidR="00543860" w:rsidRDefault="00543860" w:rsidP="00543860">
      <w:pPr>
        <w:pStyle w:val="Prrafodelista"/>
        <w:numPr>
          <w:ilvl w:val="0"/>
          <w:numId w:val="2"/>
        </w:numPr>
        <w:autoSpaceDE w:val="0"/>
        <w:adjustRightInd w:val="0"/>
        <w:rPr>
          <w:rFonts w:eastAsia="Calibri" w:cs="Arial"/>
          <w:szCs w:val="22"/>
        </w:rPr>
      </w:pPr>
      <w:r w:rsidRPr="00543860">
        <w:rPr>
          <w:rFonts w:eastAsia="Calibri" w:cs="Arial"/>
          <w:szCs w:val="22"/>
        </w:rPr>
        <w:t xml:space="preserve">Decreto - Ley 4137 del 03 de noviembre de 2011, </w:t>
      </w:r>
      <w:r w:rsidRPr="00543860">
        <w:rPr>
          <w:rFonts w:eastAsia="Calibri" w:cs="Arial"/>
          <w:i/>
          <w:szCs w:val="22"/>
        </w:rPr>
        <w:t xml:space="preserve">“Por el cual se cambia la naturaleza jurídica de la Agencia Nacional de Hidrocarburos, ANH”, </w:t>
      </w:r>
      <w:r w:rsidRPr="00543860">
        <w:rPr>
          <w:rFonts w:eastAsia="Calibri" w:cs="Arial"/>
          <w:iCs/>
          <w:szCs w:val="22"/>
        </w:rPr>
        <w:t>dispuso en el numeral 17 del artículo 4, subrogado por el artículo 3 del Decreto 714 del 10 de abril de 2012</w:t>
      </w:r>
      <w:r w:rsidRPr="00543860">
        <w:rPr>
          <w:rFonts w:eastAsia="Calibri" w:cs="Arial"/>
          <w:i/>
          <w:szCs w:val="22"/>
        </w:rPr>
        <w:t xml:space="preserve">, “Por el cual </w:t>
      </w:r>
      <w:r w:rsidRPr="00543860">
        <w:rPr>
          <w:rFonts w:eastAsia="Calibri" w:cs="Arial"/>
          <w:i/>
          <w:szCs w:val="22"/>
        </w:rPr>
        <w:lastRenderedPageBreak/>
        <w:t xml:space="preserve">se establece la estructura de la Agencia Nacional de Hidrocarburos, ANH y se dictan otras disposiciones”, </w:t>
      </w:r>
      <w:r w:rsidRPr="00543860">
        <w:rPr>
          <w:rFonts w:eastAsia="Calibri" w:cs="Arial"/>
          <w:iCs/>
          <w:szCs w:val="22"/>
        </w:rPr>
        <w:t>que corresponde a esta Entidad</w:t>
      </w:r>
      <w:r w:rsidRPr="00543860">
        <w:rPr>
          <w:rFonts w:eastAsia="Calibri" w:cs="Arial"/>
          <w:i/>
          <w:szCs w:val="22"/>
        </w:rPr>
        <w:t xml:space="preserve"> “Hacer seguimiento al cumplimiento de las normas técnicas relacionadas con la exploración y explotación de hidrocarburos dirigidas al aprovechamiento de los recursos de manera racional e integral”.</w:t>
      </w:r>
      <w:r w:rsidRPr="00543860">
        <w:rPr>
          <w:rFonts w:eastAsia="Calibri" w:cs="Arial"/>
          <w:szCs w:val="22"/>
        </w:rPr>
        <w:t xml:space="preserve"> </w:t>
      </w:r>
    </w:p>
    <w:p w14:paraId="23C1B6AF" w14:textId="77777777" w:rsidR="00C508A0" w:rsidRPr="00015E0A" w:rsidRDefault="00C508A0" w:rsidP="006704E0">
      <w:pPr>
        <w:pStyle w:val="Prrafodelista"/>
        <w:rPr>
          <w:rFonts w:eastAsia="Calibri" w:cs="Arial"/>
          <w:szCs w:val="22"/>
        </w:rPr>
      </w:pPr>
    </w:p>
    <w:p w14:paraId="1B9D1D3C" w14:textId="04BD37BC" w:rsidR="00E73223" w:rsidRPr="006704E0" w:rsidRDefault="00E73223" w:rsidP="00C508A0">
      <w:pPr>
        <w:pStyle w:val="Prrafodelista"/>
        <w:numPr>
          <w:ilvl w:val="0"/>
          <w:numId w:val="34"/>
        </w:numPr>
        <w:rPr>
          <w:rFonts w:cs="Arial"/>
          <w:i/>
          <w:color w:val="4F81BD" w:themeColor="accent1"/>
          <w:szCs w:val="22"/>
        </w:rPr>
      </w:pPr>
      <w:r w:rsidRPr="00015E0A">
        <w:rPr>
          <w:rFonts w:cs="Arial"/>
          <w:szCs w:val="22"/>
        </w:rPr>
        <w:t xml:space="preserve">Ley 2056 de 2020 </w:t>
      </w:r>
      <w:r w:rsidRPr="006704E0">
        <w:rPr>
          <w:rFonts w:cs="Arial"/>
          <w:i/>
          <w:szCs w:val="22"/>
        </w:rPr>
        <w:t xml:space="preserve">“Por la cual se regula la organización y el funcionamiento del sistema general de regalías” que en el artículo 7 “Funciones del Ministerio de Minas y Energía y de sus entidades adscritas y vinculadas” </w:t>
      </w:r>
      <w:r w:rsidRPr="00015E0A">
        <w:rPr>
          <w:rFonts w:cs="Arial"/>
          <w:szCs w:val="22"/>
        </w:rPr>
        <w:t xml:space="preserve">define en el numeral 2: </w:t>
      </w:r>
      <w:r w:rsidRPr="006704E0">
        <w:rPr>
          <w:rFonts w:cs="Arial"/>
          <w:i/>
          <w:szCs w:val="22"/>
        </w:rPr>
        <w:t>“La Agencia Nacional de Hidrocarburos o quien haga sus veces, además de las funciones establecidas en la ley, ejercerá las siguientes funciones relacionadas con la fiscalización de la exploración y explotación de los yacimientos hidrocarburíferos: ejercerá el seguimiento y control de los contratos y convenios; verificará la medición y monitoreo a los volúmenes de producción y verificará el correcto desmantelamiento, taponamiento y abandono de pozos y facilidades.”</w:t>
      </w:r>
    </w:p>
    <w:p w14:paraId="1735EF10" w14:textId="77777777" w:rsidR="00C508A0" w:rsidRPr="006704E0" w:rsidRDefault="00C508A0" w:rsidP="006704E0">
      <w:pPr>
        <w:pStyle w:val="Prrafodelista"/>
        <w:rPr>
          <w:rFonts w:cs="Arial"/>
          <w:i/>
          <w:color w:val="4F81BD" w:themeColor="accent1"/>
          <w:sz w:val="20"/>
          <w:szCs w:val="18"/>
        </w:rPr>
      </w:pPr>
    </w:p>
    <w:p w14:paraId="2F1D241F" w14:textId="5A890832" w:rsidR="00E73223" w:rsidRPr="006704E0" w:rsidRDefault="00E73223" w:rsidP="006704E0">
      <w:pPr>
        <w:pStyle w:val="Prrafodelista"/>
        <w:ind w:left="709"/>
        <w:rPr>
          <w:rFonts w:cs="Arial"/>
          <w:i/>
          <w:szCs w:val="22"/>
        </w:rPr>
      </w:pPr>
      <w:r w:rsidRPr="006704E0">
        <w:rPr>
          <w:rFonts w:cs="Arial"/>
          <w:szCs w:val="22"/>
        </w:rPr>
        <w:t>Así mismo, en el Artículo 17 define la Fiscalización, así:</w:t>
      </w:r>
      <w:r w:rsidRPr="006704E0">
        <w:rPr>
          <w:rFonts w:cs="Arial"/>
          <w:i/>
          <w:szCs w:val="22"/>
        </w:rPr>
        <w:t xml:space="preserve"> </w:t>
      </w:r>
    </w:p>
    <w:p w14:paraId="626B4FC7" w14:textId="77777777" w:rsidR="00E73223" w:rsidRPr="006704E0" w:rsidRDefault="00E73223" w:rsidP="00E73223">
      <w:pPr>
        <w:pStyle w:val="Prrafodelista"/>
        <w:ind w:left="1068"/>
        <w:rPr>
          <w:rFonts w:cs="Arial"/>
          <w:i/>
          <w:szCs w:val="22"/>
        </w:rPr>
      </w:pPr>
    </w:p>
    <w:p w14:paraId="75774655" w14:textId="560C43D3" w:rsidR="00E73223" w:rsidRPr="006704E0" w:rsidRDefault="00E73223" w:rsidP="00E73223">
      <w:pPr>
        <w:pStyle w:val="Prrafodelista"/>
        <w:ind w:left="1068"/>
        <w:rPr>
          <w:rFonts w:cs="Arial"/>
          <w:i/>
          <w:sz w:val="20"/>
          <w:szCs w:val="20"/>
        </w:rPr>
      </w:pPr>
      <w:r w:rsidRPr="00015E0A">
        <w:rPr>
          <w:rFonts w:cs="Arial"/>
          <w:i/>
          <w:sz w:val="20"/>
          <w:szCs w:val="20"/>
        </w:rPr>
        <w:t xml:space="preserve">“Artículo 17. Fiscalización de la exploración y explotación de recursos naturales no renovables. La fiscalización de la exploración y explotación de recursos naturales no </w:t>
      </w:r>
      <w:r w:rsidRPr="00DA63C3">
        <w:rPr>
          <w:rFonts w:cs="Arial"/>
          <w:i/>
          <w:sz w:val="20"/>
          <w:szCs w:val="20"/>
        </w:rPr>
        <w:t>renovables, deberá estar orientada al cumplimiento de las normas y de las obligaciones derivadas de los contratos y convenios, títulos mineros y demás figuras que por mandato legal permiten la exploración y explotación de recursos naturales no renovables, incluidas las etapas de desmantelamiento, taponamientos, abandono y en general de cier</w:t>
      </w:r>
      <w:r w:rsidRPr="00E67BBB">
        <w:rPr>
          <w:rFonts w:cs="Arial"/>
          <w:i/>
          <w:sz w:val="20"/>
          <w:szCs w:val="20"/>
        </w:rPr>
        <w:t>res de operaciones tanto mineras como de hidrocarburos, según corresponda; igualmente incluye la determinación y verificación efectiva de los volúmenes de producción, la aplicación de buenas prácticas de exploración, explotación y producción, el cumplimien</w:t>
      </w:r>
      <w:r w:rsidRPr="00387A67">
        <w:rPr>
          <w:rFonts w:cs="Arial"/>
          <w:i/>
          <w:sz w:val="20"/>
          <w:szCs w:val="20"/>
        </w:rPr>
        <w:t>to de las normas de seguridad en labores mineras y de hidrocarburos</w:t>
      </w:r>
      <w:r w:rsidRPr="006704E0">
        <w:rPr>
          <w:rFonts w:cs="Arial"/>
          <w:i/>
          <w:sz w:val="20"/>
          <w:szCs w:val="20"/>
        </w:rPr>
        <w:t>”.</w:t>
      </w:r>
    </w:p>
    <w:p w14:paraId="4E3F5139" w14:textId="3831AC2A" w:rsidR="006A6DB5" w:rsidRDefault="006A6DB5" w:rsidP="006A6DB5">
      <w:pPr>
        <w:rPr>
          <w:rFonts w:cs="Arial"/>
          <w:sz w:val="20"/>
          <w:szCs w:val="18"/>
        </w:rPr>
      </w:pPr>
    </w:p>
    <w:p w14:paraId="64A4EE9A" w14:textId="33BDF430" w:rsidR="006A6DB5" w:rsidRDefault="006A6DB5" w:rsidP="006A6DB5">
      <w:pPr>
        <w:pStyle w:val="Prrafodelista"/>
        <w:numPr>
          <w:ilvl w:val="0"/>
          <w:numId w:val="34"/>
        </w:numPr>
        <w:ind w:right="-23"/>
        <w:rPr>
          <w:rFonts w:eastAsia="Arial"/>
          <w:i/>
          <w:iCs/>
          <w:lang w:val="es-ES_tradnl"/>
        </w:rPr>
      </w:pPr>
      <w:r w:rsidRPr="006A6DB5">
        <w:rPr>
          <w:rFonts w:eastAsia="Arial"/>
          <w:lang w:val="es-ES_tradnl"/>
        </w:rPr>
        <w:t xml:space="preserve">Resolución 40066 de 2022, </w:t>
      </w:r>
      <w:r w:rsidRPr="006704E0">
        <w:rPr>
          <w:rFonts w:eastAsia="Arial"/>
          <w:i/>
          <w:iCs/>
          <w:lang w:val="es-ES_tradnl"/>
        </w:rPr>
        <w:t xml:space="preserve">"Por la cual se establecen requerimientos técnicos para la detección y reparación de fugas, el aprovechamiento, quema y venteo de gas natural durante las actividades de exploración y explotación de hidrocarburos", modificada por la Resolución 40317 de 2023, </w:t>
      </w:r>
      <w:r w:rsidRPr="006A6DB5">
        <w:rPr>
          <w:rFonts w:eastAsia="Arial"/>
          <w:lang w:val="es-ES_tradnl"/>
        </w:rPr>
        <w:t>“Por la cual se modifica la Resolución 40066 de 11 de febrero de 2022, mediante la cual se establecen requerimientos técnicos para la det</w:t>
      </w:r>
      <w:r w:rsidRPr="006704E0">
        <w:rPr>
          <w:rFonts w:eastAsia="Arial"/>
          <w:i/>
          <w:iCs/>
          <w:lang w:val="es-ES_tradnl"/>
        </w:rPr>
        <w:t>ección y reparación de fugas, el aprovechamiento, quema y venteo de gas natural durante las actividades de exploración y explotación de hidrocarburos”,</w:t>
      </w:r>
      <w:r w:rsidR="00FB57F5">
        <w:rPr>
          <w:rFonts w:eastAsia="Arial"/>
          <w:i/>
          <w:iCs/>
          <w:lang w:val="es-ES_tradnl"/>
        </w:rPr>
        <w:t xml:space="preserve"> e</w:t>
      </w:r>
      <w:r w:rsidRPr="006A6DB5">
        <w:rPr>
          <w:rFonts w:eastAsia="Arial"/>
          <w:lang w:val="es-ES_tradnl"/>
        </w:rPr>
        <w:t xml:space="preserve">n el artículo 83, numeral 3. ordenó que </w:t>
      </w:r>
      <w:r w:rsidRPr="006704E0">
        <w:rPr>
          <w:rFonts w:eastAsia="Arial"/>
          <w:i/>
          <w:iCs/>
          <w:lang w:val="es-ES_tradnl"/>
        </w:rPr>
        <w:t>"Con el fin de lograr el adecuado seguimiento y supervisión del cumplimiento de esta regulación, la Entidad de Fiscalización, en un plazo de 6 meses, deberá publicar las reglas para la entrega y reporte del Programa de Detección y Reparación de fugas de Gas Natural, que deberán cumplir los operadores. Dichas reglas incluirán al menos los datos, medios y plazos para la entrega de información de fugas de Gas Natural".</w:t>
      </w:r>
    </w:p>
    <w:p w14:paraId="194DA2D7" w14:textId="77777777" w:rsidR="00FB57F5" w:rsidRDefault="00FB57F5" w:rsidP="006704E0">
      <w:pPr>
        <w:pStyle w:val="Prrafodelista"/>
        <w:ind w:right="-23"/>
        <w:rPr>
          <w:rFonts w:eastAsia="Arial"/>
          <w:i/>
          <w:iCs/>
          <w:lang w:val="es-ES_tradnl"/>
        </w:rPr>
      </w:pPr>
    </w:p>
    <w:p w14:paraId="6C7512E9" w14:textId="3B57BA33" w:rsidR="006A6DB5" w:rsidRPr="006704E0" w:rsidRDefault="006A6DB5" w:rsidP="006704E0">
      <w:pPr>
        <w:pStyle w:val="Prrafodelista"/>
        <w:numPr>
          <w:ilvl w:val="0"/>
          <w:numId w:val="34"/>
        </w:numPr>
        <w:spacing w:before="100" w:beforeAutospacing="1" w:after="100" w:afterAutospacing="1"/>
        <w:rPr>
          <w:rFonts w:cs="Arial"/>
          <w:szCs w:val="22"/>
          <w:lang w:val="es-MX" w:eastAsia="es-MX"/>
        </w:rPr>
      </w:pPr>
      <w:r w:rsidRPr="006704E0">
        <w:rPr>
          <w:rFonts w:cs="Arial"/>
          <w:szCs w:val="22"/>
          <w:lang w:val="es-MX" w:eastAsia="es-MX"/>
        </w:rPr>
        <w:t xml:space="preserve">Resolución 0137 del 17 de febrero de 2023, </w:t>
      </w:r>
      <w:r w:rsidR="00FB57F5">
        <w:rPr>
          <w:rFonts w:cs="Arial"/>
          <w:szCs w:val="22"/>
          <w:lang w:val="es-MX" w:eastAsia="es-MX"/>
        </w:rPr>
        <w:t>que delegó en el</w:t>
      </w:r>
      <w:r w:rsidRPr="006704E0">
        <w:rPr>
          <w:rFonts w:cs="Arial"/>
          <w:szCs w:val="22"/>
          <w:lang w:val="es-MX" w:eastAsia="es-MX"/>
        </w:rPr>
        <w:t xml:space="preserve"> Vicepresidente de Operaciones, Regalías y Participaciones - VORP de la Agencia Nacional de Hidrocarburos - ANH expedir los </w:t>
      </w:r>
      <w:r w:rsidRPr="006704E0">
        <w:rPr>
          <w:rFonts w:eastAsia="Arial"/>
          <w:i/>
          <w:iCs/>
        </w:rPr>
        <w:t xml:space="preserve">"Lineamientos Técnicos para la Evaluación de la Eficiencia de </w:t>
      </w:r>
      <w:r w:rsidRPr="006704E0">
        <w:rPr>
          <w:rFonts w:eastAsia="Arial"/>
          <w:i/>
          <w:iCs/>
        </w:rPr>
        <w:lastRenderedPageBreak/>
        <w:t>Combustión en Tea y la Presentación del Informe de Resultados</w:t>
      </w:r>
      <w:r w:rsidRPr="006704E0">
        <w:rPr>
          <w:rFonts w:eastAsia="Arial"/>
        </w:rPr>
        <w:t>", acorde con lo dispuesto en el Artículo 3 de la Resolución 40317 de 2023, expedida por el Ministerio de Minas y Energía.</w:t>
      </w:r>
    </w:p>
    <w:p w14:paraId="67149315" w14:textId="10D22A9C" w:rsidR="00247B44" w:rsidRPr="007E1D9A" w:rsidRDefault="00247B44" w:rsidP="00B17D6A">
      <w:pPr>
        <w:pStyle w:val="Ttulo2"/>
        <w:numPr>
          <w:ilvl w:val="1"/>
          <w:numId w:val="27"/>
        </w:numPr>
        <w:rPr>
          <w:shd w:val="clear" w:color="auto" w:fill="FFFFFF"/>
        </w:rPr>
      </w:pPr>
      <w:bookmarkStart w:id="27" w:name="_Toc138340214"/>
      <w:bookmarkStart w:id="28" w:name="_Toc145672299"/>
      <w:r w:rsidRPr="007E1D9A">
        <w:rPr>
          <w:shd w:val="clear" w:color="auto" w:fill="FFFFFF"/>
        </w:rPr>
        <w:t>Marco regula</w:t>
      </w:r>
      <w:r w:rsidR="00FB57F5">
        <w:rPr>
          <w:shd w:val="clear" w:color="auto" w:fill="FFFFFF"/>
        </w:rPr>
        <w:t>torio</w:t>
      </w:r>
      <w:r w:rsidRPr="007E1D9A">
        <w:rPr>
          <w:shd w:val="clear" w:color="auto" w:fill="FFFFFF"/>
        </w:rPr>
        <w:t xml:space="preserve"> de emisiones - Resolución 40066 de 11 de febrero de 2022.</w:t>
      </w:r>
      <w:bookmarkEnd w:id="27"/>
      <w:bookmarkEnd w:id="28"/>
      <w:r w:rsidRPr="007E1D9A">
        <w:rPr>
          <w:shd w:val="clear" w:color="auto" w:fill="FFFFFF"/>
        </w:rPr>
        <w:t xml:space="preserve"> </w:t>
      </w:r>
    </w:p>
    <w:p w14:paraId="1B5B766E" w14:textId="77777777" w:rsidR="00247B44" w:rsidRPr="007E1D9A" w:rsidRDefault="00247B44" w:rsidP="001A0C80">
      <w:pPr>
        <w:jc w:val="center"/>
        <w:rPr>
          <w:rFonts w:cs="Arial"/>
          <w:color w:val="auto"/>
          <w:szCs w:val="22"/>
        </w:rPr>
      </w:pPr>
    </w:p>
    <w:tbl>
      <w:tblPr>
        <w:tblStyle w:val="Tablaconcuadrcula"/>
        <w:tblW w:w="0" w:type="auto"/>
        <w:tblLook w:val="04A0" w:firstRow="1" w:lastRow="0" w:firstColumn="1" w:lastColumn="0" w:noHBand="0" w:noVBand="1"/>
      </w:tblPr>
      <w:tblGrid>
        <w:gridCol w:w="2830"/>
        <w:gridCol w:w="6521"/>
      </w:tblGrid>
      <w:tr w:rsidR="007E1D9A" w:rsidRPr="007E1D9A" w14:paraId="1A6AB723" w14:textId="77777777" w:rsidTr="00444010">
        <w:tc>
          <w:tcPr>
            <w:tcW w:w="2830" w:type="dxa"/>
          </w:tcPr>
          <w:p w14:paraId="1EDB1FB9" w14:textId="72E1BE19" w:rsidR="00247B44" w:rsidRPr="007E1D9A" w:rsidRDefault="00247B44" w:rsidP="00AE1E3B">
            <w:pPr>
              <w:rPr>
                <w:rFonts w:cs="Arial"/>
                <w:color w:val="auto"/>
                <w:szCs w:val="22"/>
              </w:rPr>
            </w:pPr>
            <w:r w:rsidRPr="007E1D9A">
              <w:rPr>
                <w:rFonts w:cs="Arial"/>
                <w:color w:val="auto"/>
                <w:szCs w:val="22"/>
              </w:rPr>
              <w:t>Resolución</w:t>
            </w:r>
            <w:r w:rsidR="00FB57F5">
              <w:rPr>
                <w:rFonts w:cs="Arial"/>
                <w:color w:val="auto"/>
                <w:szCs w:val="22"/>
              </w:rPr>
              <w:t xml:space="preserve"> No.</w:t>
            </w:r>
          </w:p>
        </w:tc>
        <w:tc>
          <w:tcPr>
            <w:tcW w:w="6521" w:type="dxa"/>
          </w:tcPr>
          <w:p w14:paraId="575CB3CD" w14:textId="77777777" w:rsidR="00247B44" w:rsidRPr="007E1D9A" w:rsidRDefault="00247B44" w:rsidP="00AE1E3B">
            <w:pPr>
              <w:rPr>
                <w:rFonts w:cs="Arial"/>
                <w:color w:val="auto"/>
                <w:szCs w:val="22"/>
              </w:rPr>
            </w:pPr>
            <w:r w:rsidRPr="007E1D9A">
              <w:rPr>
                <w:rFonts w:cs="Arial"/>
                <w:color w:val="auto"/>
                <w:szCs w:val="22"/>
              </w:rPr>
              <w:t xml:space="preserve">40066 </w:t>
            </w:r>
          </w:p>
        </w:tc>
      </w:tr>
      <w:tr w:rsidR="007E1D9A" w:rsidRPr="007E1D9A" w14:paraId="5F9D6ADD" w14:textId="77777777" w:rsidTr="00444010">
        <w:tc>
          <w:tcPr>
            <w:tcW w:w="2830" w:type="dxa"/>
          </w:tcPr>
          <w:p w14:paraId="0B007044" w14:textId="77777777" w:rsidR="00247B44" w:rsidRPr="007E1D9A" w:rsidRDefault="00247B44" w:rsidP="00AE1E3B">
            <w:pPr>
              <w:rPr>
                <w:rFonts w:cs="Arial"/>
                <w:color w:val="auto"/>
                <w:szCs w:val="22"/>
              </w:rPr>
            </w:pPr>
            <w:r w:rsidRPr="007E1D9A">
              <w:rPr>
                <w:rFonts w:cs="Arial"/>
                <w:color w:val="auto"/>
                <w:szCs w:val="22"/>
              </w:rPr>
              <w:t>Alcance</w:t>
            </w:r>
          </w:p>
        </w:tc>
        <w:tc>
          <w:tcPr>
            <w:tcW w:w="6521" w:type="dxa"/>
          </w:tcPr>
          <w:p w14:paraId="2ADF9D2C" w14:textId="77777777" w:rsidR="00247B44" w:rsidRPr="007E1D9A" w:rsidRDefault="00247B44" w:rsidP="00444010">
            <w:pPr>
              <w:jc w:val="both"/>
              <w:rPr>
                <w:rFonts w:cs="Arial"/>
                <w:color w:val="auto"/>
                <w:szCs w:val="22"/>
              </w:rPr>
            </w:pPr>
            <w:r w:rsidRPr="007E1D9A">
              <w:rPr>
                <w:rFonts w:cs="Arial"/>
                <w:i/>
                <w:color w:val="auto"/>
                <w:szCs w:val="22"/>
              </w:rPr>
              <w:t>“Por la cual se establecen requerimientos técnicos para la detección y reparación de fugas, el aprovechamiento, quema y venteo de gas natural durante las actividades de exploración y explotación de hidrocarburos”.</w:t>
            </w:r>
          </w:p>
        </w:tc>
      </w:tr>
      <w:tr w:rsidR="007E1D9A" w:rsidRPr="007E1D9A" w14:paraId="1D9FBE89" w14:textId="77777777" w:rsidTr="00444010">
        <w:tc>
          <w:tcPr>
            <w:tcW w:w="2830" w:type="dxa"/>
          </w:tcPr>
          <w:p w14:paraId="35197DDF" w14:textId="77777777" w:rsidR="00247B44" w:rsidRPr="007E1D9A" w:rsidRDefault="00247B44" w:rsidP="00AE1E3B">
            <w:pPr>
              <w:rPr>
                <w:rFonts w:cs="Arial"/>
                <w:color w:val="auto"/>
                <w:szCs w:val="22"/>
              </w:rPr>
            </w:pPr>
            <w:r w:rsidRPr="007E1D9A">
              <w:rPr>
                <w:rFonts w:cs="Arial"/>
                <w:color w:val="auto"/>
                <w:szCs w:val="22"/>
              </w:rPr>
              <w:t>Fecha de expedición</w:t>
            </w:r>
          </w:p>
        </w:tc>
        <w:tc>
          <w:tcPr>
            <w:tcW w:w="6521" w:type="dxa"/>
          </w:tcPr>
          <w:p w14:paraId="2DFEA8D5" w14:textId="77777777" w:rsidR="00247B44" w:rsidRPr="007E1D9A" w:rsidRDefault="00247B44" w:rsidP="00AE1E3B">
            <w:pPr>
              <w:rPr>
                <w:rFonts w:cs="Arial"/>
                <w:color w:val="auto"/>
                <w:szCs w:val="22"/>
              </w:rPr>
            </w:pPr>
            <w:r w:rsidRPr="007E1D9A">
              <w:rPr>
                <w:rFonts w:cs="Arial"/>
                <w:color w:val="auto"/>
                <w:szCs w:val="22"/>
              </w:rPr>
              <w:t>11 de febrero de 2022</w:t>
            </w:r>
          </w:p>
        </w:tc>
      </w:tr>
      <w:tr w:rsidR="007E1D9A" w:rsidRPr="007E1D9A" w14:paraId="69607FF1" w14:textId="77777777" w:rsidTr="00444010">
        <w:tc>
          <w:tcPr>
            <w:tcW w:w="2830" w:type="dxa"/>
          </w:tcPr>
          <w:p w14:paraId="0B377D19" w14:textId="77777777" w:rsidR="00247B44" w:rsidRPr="007E1D9A" w:rsidRDefault="00247B44" w:rsidP="00AE1E3B">
            <w:pPr>
              <w:rPr>
                <w:rFonts w:cs="Arial"/>
                <w:color w:val="auto"/>
                <w:szCs w:val="22"/>
              </w:rPr>
            </w:pPr>
            <w:r w:rsidRPr="007E1D9A">
              <w:rPr>
                <w:rFonts w:cs="Arial"/>
                <w:color w:val="auto"/>
                <w:szCs w:val="22"/>
              </w:rPr>
              <w:t>Emisor</w:t>
            </w:r>
          </w:p>
        </w:tc>
        <w:tc>
          <w:tcPr>
            <w:tcW w:w="6521" w:type="dxa"/>
          </w:tcPr>
          <w:p w14:paraId="6AC6D82F" w14:textId="77777777" w:rsidR="00247B44" w:rsidRPr="007E1D9A" w:rsidRDefault="00247B44" w:rsidP="00AE1E3B">
            <w:pPr>
              <w:rPr>
                <w:rFonts w:cs="Arial"/>
                <w:color w:val="auto"/>
                <w:szCs w:val="22"/>
              </w:rPr>
            </w:pPr>
            <w:r w:rsidRPr="007E1D9A">
              <w:rPr>
                <w:rFonts w:cs="Arial"/>
                <w:color w:val="auto"/>
                <w:szCs w:val="22"/>
              </w:rPr>
              <w:t>Ministerio de Minas y Energía</w:t>
            </w:r>
          </w:p>
        </w:tc>
      </w:tr>
    </w:tbl>
    <w:p w14:paraId="018D2354" w14:textId="5AF5F820" w:rsidR="00247B44" w:rsidRDefault="00247B44" w:rsidP="00162809">
      <w:pPr>
        <w:jc w:val="center"/>
        <w:rPr>
          <w:rFonts w:cs="Arial"/>
          <w:color w:val="auto"/>
          <w:szCs w:val="22"/>
        </w:rPr>
      </w:pPr>
    </w:p>
    <w:p w14:paraId="558E41EA" w14:textId="073FBEFB" w:rsidR="00156C28" w:rsidRPr="007E1D9A" w:rsidRDefault="00156C28" w:rsidP="00156C28">
      <w:pPr>
        <w:pStyle w:val="Ttulo2"/>
        <w:numPr>
          <w:ilvl w:val="1"/>
          <w:numId w:val="27"/>
        </w:numPr>
        <w:rPr>
          <w:shd w:val="clear" w:color="auto" w:fill="FFFFFF"/>
        </w:rPr>
      </w:pPr>
      <w:bookmarkStart w:id="29" w:name="_Toc145672300"/>
      <w:r w:rsidRPr="007E1D9A">
        <w:rPr>
          <w:shd w:val="clear" w:color="auto" w:fill="FFFFFF"/>
        </w:rPr>
        <w:t>Marco regula</w:t>
      </w:r>
      <w:r w:rsidR="00FB57F5">
        <w:rPr>
          <w:shd w:val="clear" w:color="auto" w:fill="FFFFFF"/>
        </w:rPr>
        <w:t>torio</w:t>
      </w:r>
      <w:r w:rsidRPr="007E1D9A">
        <w:rPr>
          <w:shd w:val="clear" w:color="auto" w:fill="FFFFFF"/>
        </w:rPr>
        <w:t xml:space="preserve"> de emisiones - Resolución 40</w:t>
      </w:r>
      <w:r w:rsidR="003F505D">
        <w:rPr>
          <w:shd w:val="clear" w:color="auto" w:fill="FFFFFF"/>
        </w:rPr>
        <w:t>317</w:t>
      </w:r>
      <w:r w:rsidRPr="007E1D9A">
        <w:rPr>
          <w:shd w:val="clear" w:color="auto" w:fill="FFFFFF"/>
        </w:rPr>
        <w:t xml:space="preserve"> de 1</w:t>
      </w:r>
      <w:r w:rsidR="003F505D">
        <w:rPr>
          <w:shd w:val="clear" w:color="auto" w:fill="FFFFFF"/>
        </w:rPr>
        <w:t>0</w:t>
      </w:r>
      <w:r w:rsidRPr="007E1D9A">
        <w:rPr>
          <w:shd w:val="clear" w:color="auto" w:fill="FFFFFF"/>
        </w:rPr>
        <w:t xml:space="preserve"> de </w:t>
      </w:r>
      <w:r w:rsidR="003F505D">
        <w:rPr>
          <w:shd w:val="clear" w:color="auto" w:fill="FFFFFF"/>
        </w:rPr>
        <w:t>abril</w:t>
      </w:r>
      <w:r w:rsidRPr="007E1D9A">
        <w:rPr>
          <w:shd w:val="clear" w:color="auto" w:fill="FFFFFF"/>
        </w:rPr>
        <w:t xml:space="preserve"> de 202</w:t>
      </w:r>
      <w:r w:rsidR="003F505D">
        <w:rPr>
          <w:shd w:val="clear" w:color="auto" w:fill="FFFFFF"/>
        </w:rPr>
        <w:t>3</w:t>
      </w:r>
      <w:r w:rsidRPr="007E1D9A">
        <w:rPr>
          <w:shd w:val="clear" w:color="auto" w:fill="FFFFFF"/>
        </w:rPr>
        <w:t>.</w:t>
      </w:r>
      <w:bookmarkEnd w:id="29"/>
      <w:r w:rsidRPr="007E1D9A">
        <w:rPr>
          <w:shd w:val="clear" w:color="auto" w:fill="FFFFFF"/>
        </w:rPr>
        <w:t xml:space="preserve"> </w:t>
      </w:r>
    </w:p>
    <w:p w14:paraId="4D838AC5" w14:textId="77777777" w:rsidR="00156C28" w:rsidRPr="007E1D9A" w:rsidRDefault="00156C28" w:rsidP="00156C28">
      <w:pPr>
        <w:jc w:val="center"/>
        <w:rPr>
          <w:rFonts w:cs="Arial"/>
          <w:color w:val="auto"/>
          <w:szCs w:val="22"/>
        </w:rPr>
      </w:pPr>
    </w:p>
    <w:tbl>
      <w:tblPr>
        <w:tblStyle w:val="Tablaconcuadrcula"/>
        <w:tblW w:w="0" w:type="auto"/>
        <w:tblLook w:val="04A0" w:firstRow="1" w:lastRow="0" w:firstColumn="1" w:lastColumn="0" w:noHBand="0" w:noVBand="1"/>
      </w:tblPr>
      <w:tblGrid>
        <w:gridCol w:w="2830"/>
        <w:gridCol w:w="6521"/>
      </w:tblGrid>
      <w:tr w:rsidR="00156C28" w:rsidRPr="007E1D9A" w14:paraId="405BA2BF" w14:textId="77777777" w:rsidTr="00F93033">
        <w:tc>
          <w:tcPr>
            <w:tcW w:w="2830" w:type="dxa"/>
          </w:tcPr>
          <w:p w14:paraId="4A6F7C76" w14:textId="338E6905" w:rsidR="00156C28" w:rsidRPr="007E1D9A" w:rsidRDefault="00156C28" w:rsidP="00F93033">
            <w:pPr>
              <w:rPr>
                <w:rFonts w:cs="Arial"/>
                <w:color w:val="auto"/>
                <w:szCs w:val="22"/>
              </w:rPr>
            </w:pPr>
            <w:r w:rsidRPr="007E1D9A">
              <w:rPr>
                <w:rFonts w:cs="Arial"/>
                <w:color w:val="auto"/>
                <w:szCs w:val="22"/>
              </w:rPr>
              <w:t>Resolución</w:t>
            </w:r>
            <w:r w:rsidR="00FB57F5">
              <w:rPr>
                <w:rFonts w:cs="Arial"/>
                <w:color w:val="auto"/>
                <w:szCs w:val="22"/>
              </w:rPr>
              <w:t xml:space="preserve"> No.</w:t>
            </w:r>
          </w:p>
        </w:tc>
        <w:tc>
          <w:tcPr>
            <w:tcW w:w="6521" w:type="dxa"/>
          </w:tcPr>
          <w:p w14:paraId="32068CFD" w14:textId="0D3C9FC0" w:rsidR="00156C28" w:rsidRPr="007E1D9A" w:rsidRDefault="00156C28" w:rsidP="00F93033">
            <w:pPr>
              <w:rPr>
                <w:rFonts w:cs="Arial"/>
                <w:color w:val="auto"/>
                <w:szCs w:val="22"/>
              </w:rPr>
            </w:pPr>
            <w:r w:rsidRPr="007E1D9A">
              <w:rPr>
                <w:rFonts w:cs="Arial"/>
                <w:color w:val="auto"/>
                <w:szCs w:val="22"/>
              </w:rPr>
              <w:t>40</w:t>
            </w:r>
            <w:r w:rsidR="003F505D">
              <w:rPr>
                <w:rFonts w:cs="Arial"/>
                <w:color w:val="auto"/>
                <w:szCs w:val="22"/>
              </w:rPr>
              <w:t>317</w:t>
            </w:r>
          </w:p>
        </w:tc>
      </w:tr>
      <w:tr w:rsidR="00156C28" w:rsidRPr="007E1D9A" w14:paraId="5BF1E276" w14:textId="77777777" w:rsidTr="00F93033">
        <w:tc>
          <w:tcPr>
            <w:tcW w:w="2830" w:type="dxa"/>
          </w:tcPr>
          <w:p w14:paraId="167F5540" w14:textId="77777777" w:rsidR="00156C28" w:rsidRPr="007E1D9A" w:rsidRDefault="00156C28" w:rsidP="00F93033">
            <w:pPr>
              <w:rPr>
                <w:rFonts w:cs="Arial"/>
                <w:color w:val="auto"/>
                <w:szCs w:val="22"/>
              </w:rPr>
            </w:pPr>
            <w:r w:rsidRPr="007E1D9A">
              <w:rPr>
                <w:rFonts w:cs="Arial"/>
                <w:color w:val="auto"/>
                <w:szCs w:val="22"/>
              </w:rPr>
              <w:t>Alcance</w:t>
            </w:r>
          </w:p>
        </w:tc>
        <w:tc>
          <w:tcPr>
            <w:tcW w:w="6521" w:type="dxa"/>
          </w:tcPr>
          <w:p w14:paraId="2DF64640" w14:textId="288BEC5B" w:rsidR="00156C28" w:rsidRPr="007E1D9A" w:rsidRDefault="003F505D" w:rsidP="00F93033">
            <w:pPr>
              <w:jc w:val="both"/>
              <w:rPr>
                <w:rFonts w:cs="Arial"/>
                <w:color w:val="auto"/>
                <w:szCs w:val="22"/>
              </w:rPr>
            </w:pPr>
            <w:r w:rsidRPr="003F505D">
              <w:rPr>
                <w:rFonts w:cs="Arial"/>
                <w:i/>
                <w:color w:val="auto"/>
                <w:szCs w:val="22"/>
              </w:rPr>
              <w:t>“Por la cual se modifica la Resolución 40066 de 11 de febrero de 2022, mediante la cual se establecen requerimientos técnicos para la detección y reparación de fugas, el aprovechamiento, quema y venteo de gas natural durante las actividades de exploración y explotación de hidrocarburos”.</w:t>
            </w:r>
          </w:p>
        </w:tc>
      </w:tr>
      <w:tr w:rsidR="00156C28" w:rsidRPr="007E1D9A" w14:paraId="208FA82D" w14:textId="77777777" w:rsidTr="00F93033">
        <w:tc>
          <w:tcPr>
            <w:tcW w:w="2830" w:type="dxa"/>
          </w:tcPr>
          <w:p w14:paraId="6989A135" w14:textId="77777777" w:rsidR="00156C28" w:rsidRPr="007E1D9A" w:rsidRDefault="00156C28" w:rsidP="00F93033">
            <w:pPr>
              <w:rPr>
                <w:rFonts w:cs="Arial"/>
                <w:color w:val="auto"/>
                <w:szCs w:val="22"/>
              </w:rPr>
            </w:pPr>
            <w:r w:rsidRPr="007E1D9A">
              <w:rPr>
                <w:rFonts w:cs="Arial"/>
                <w:color w:val="auto"/>
                <w:szCs w:val="22"/>
              </w:rPr>
              <w:t>Fecha de expedición</w:t>
            </w:r>
          </w:p>
        </w:tc>
        <w:tc>
          <w:tcPr>
            <w:tcW w:w="6521" w:type="dxa"/>
          </w:tcPr>
          <w:p w14:paraId="5FFA4E03" w14:textId="0C6403A7" w:rsidR="00156C28" w:rsidRPr="007E1D9A" w:rsidRDefault="00156C28" w:rsidP="00F93033">
            <w:pPr>
              <w:rPr>
                <w:rFonts w:cs="Arial"/>
                <w:color w:val="auto"/>
                <w:szCs w:val="22"/>
              </w:rPr>
            </w:pPr>
            <w:r w:rsidRPr="007E1D9A">
              <w:rPr>
                <w:rFonts w:cs="Arial"/>
                <w:color w:val="auto"/>
                <w:szCs w:val="22"/>
              </w:rPr>
              <w:t>1</w:t>
            </w:r>
            <w:r w:rsidR="003F505D">
              <w:rPr>
                <w:rFonts w:cs="Arial"/>
                <w:color w:val="auto"/>
                <w:szCs w:val="22"/>
              </w:rPr>
              <w:t>0</w:t>
            </w:r>
            <w:r w:rsidRPr="007E1D9A">
              <w:rPr>
                <w:rFonts w:cs="Arial"/>
                <w:color w:val="auto"/>
                <w:szCs w:val="22"/>
              </w:rPr>
              <w:t xml:space="preserve"> de </w:t>
            </w:r>
            <w:r w:rsidR="003F505D">
              <w:rPr>
                <w:rFonts w:cs="Arial"/>
                <w:color w:val="auto"/>
                <w:szCs w:val="22"/>
              </w:rPr>
              <w:t>abril</w:t>
            </w:r>
            <w:r w:rsidRPr="007E1D9A">
              <w:rPr>
                <w:rFonts w:cs="Arial"/>
                <w:color w:val="auto"/>
                <w:szCs w:val="22"/>
              </w:rPr>
              <w:t xml:space="preserve"> de 202</w:t>
            </w:r>
            <w:r w:rsidR="003F505D">
              <w:rPr>
                <w:rFonts w:cs="Arial"/>
                <w:color w:val="auto"/>
                <w:szCs w:val="22"/>
              </w:rPr>
              <w:t>3</w:t>
            </w:r>
          </w:p>
        </w:tc>
      </w:tr>
      <w:tr w:rsidR="00156C28" w:rsidRPr="007E1D9A" w14:paraId="094D4872" w14:textId="77777777" w:rsidTr="00F93033">
        <w:tc>
          <w:tcPr>
            <w:tcW w:w="2830" w:type="dxa"/>
          </w:tcPr>
          <w:p w14:paraId="42338D15" w14:textId="77777777" w:rsidR="00156C28" w:rsidRPr="007E1D9A" w:rsidRDefault="00156C28" w:rsidP="00F93033">
            <w:pPr>
              <w:rPr>
                <w:rFonts w:cs="Arial"/>
                <w:color w:val="auto"/>
                <w:szCs w:val="22"/>
              </w:rPr>
            </w:pPr>
            <w:r w:rsidRPr="007E1D9A">
              <w:rPr>
                <w:rFonts w:cs="Arial"/>
                <w:color w:val="auto"/>
                <w:szCs w:val="22"/>
              </w:rPr>
              <w:t>Emisor</w:t>
            </w:r>
          </w:p>
        </w:tc>
        <w:tc>
          <w:tcPr>
            <w:tcW w:w="6521" w:type="dxa"/>
          </w:tcPr>
          <w:p w14:paraId="4EB82416" w14:textId="77777777" w:rsidR="00156C28" w:rsidRPr="007E1D9A" w:rsidRDefault="00156C28" w:rsidP="00F93033">
            <w:pPr>
              <w:rPr>
                <w:rFonts w:cs="Arial"/>
                <w:color w:val="auto"/>
                <w:szCs w:val="22"/>
              </w:rPr>
            </w:pPr>
            <w:r w:rsidRPr="007E1D9A">
              <w:rPr>
                <w:rFonts w:cs="Arial"/>
                <w:color w:val="auto"/>
                <w:szCs w:val="22"/>
              </w:rPr>
              <w:t>Ministerio de Minas y Energía</w:t>
            </w:r>
          </w:p>
        </w:tc>
      </w:tr>
    </w:tbl>
    <w:p w14:paraId="74E0F8D4" w14:textId="77777777" w:rsidR="00156C28" w:rsidRDefault="00156C28" w:rsidP="003F505D">
      <w:pPr>
        <w:rPr>
          <w:rFonts w:cs="Arial"/>
          <w:color w:val="auto"/>
          <w:szCs w:val="22"/>
        </w:rPr>
      </w:pPr>
    </w:p>
    <w:p w14:paraId="34DE3261" w14:textId="064972C1" w:rsidR="003F505D" w:rsidRDefault="003F505D" w:rsidP="003F505D">
      <w:pPr>
        <w:jc w:val="both"/>
        <w:rPr>
          <w:rFonts w:cs="Arial"/>
          <w:color w:val="auto"/>
          <w:szCs w:val="22"/>
        </w:rPr>
      </w:pPr>
      <w:r w:rsidRPr="003F505D">
        <w:rPr>
          <w:rFonts w:cs="Arial"/>
          <w:b/>
          <w:color w:val="auto"/>
          <w:szCs w:val="22"/>
        </w:rPr>
        <w:t>Artículo 3.</w:t>
      </w:r>
      <w:r w:rsidRPr="003F505D">
        <w:rPr>
          <w:rFonts w:cs="Arial"/>
          <w:color w:val="auto"/>
          <w:szCs w:val="22"/>
        </w:rPr>
        <w:t xml:space="preserve"> Modificar el Artículo 22 de la Resolución 40066 de 2022, el cual quedará así:</w:t>
      </w:r>
    </w:p>
    <w:p w14:paraId="4AC4180D" w14:textId="77777777" w:rsidR="003F505D" w:rsidRPr="003F505D" w:rsidRDefault="003F505D" w:rsidP="003F505D">
      <w:pPr>
        <w:jc w:val="both"/>
        <w:rPr>
          <w:rFonts w:cs="Arial"/>
          <w:color w:val="auto"/>
          <w:szCs w:val="22"/>
        </w:rPr>
      </w:pPr>
    </w:p>
    <w:p w14:paraId="4B3F739A" w14:textId="77777777" w:rsidR="003F505D" w:rsidRPr="003F505D" w:rsidRDefault="003F505D" w:rsidP="003F505D">
      <w:pPr>
        <w:ind w:left="708"/>
        <w:jc w:val="both"/>
        <w:rPr>
          <w:rFonts w:cs="Arial"/>
          <w:i/>
          <w:color w:val="auto"/>
          <w:sz w:val="20"/>
          <w:szCs w:val="22"/>
        </w:rPr>
      </w:pPr>
      <w:r w:rsidRPr="003F505D">
        <w:rPr>
          <w:rFonts w:cs="Arial"/>
          <w:color w:val="auto"/>
          <w:sz w:val="20"/>
          <w:szCs w:val="22"/>
        </w:rPr>
        <w:t xml:space="preserve">“(…) </w:t>
      </w:r>
      <w:r w:rsidRPr="003F505D">
        <w:rPr>
          <w:rFonts w:cs="Arial"/>
          <w:i/>
          <w:color w:val="auto"/>
          <w:sz w:val="20"/>
          <w:szCs w:val="22"/>
        </w:rPr>
        <w:t>El Operador deberá realizar anualmente la medición de la eficiencia del proceso de Quema de Gas Natural de las teas del campo que se encuentre en producción y deberá demostrar la conformidad de la medición de eficiencia de las teas a través de un informe de inspección expedido por un organismo de inspección acreditado por el ONAC o por un organismo de acreditación miembro de ILAC bajo la norma NTC-ISO/IEC 17020 con alcance a los lineamientos técnicos, incluida la eficiencia mínima y la metodología que establezca la Entidad de Fiscalización. Dicho informe de inspección deberá ser reportado a la Entidad de Fiscalización anualmente, a través del informe de resultados que este establezca, dentro de los 30 días calendario posteriores a dicha inspección.</w:t>
      </w:r>
    </w:p>
    <w:p w14:paraId="293CD7C4" w14:textId="3B6631C2" w:rsidR="00156C28" w:rsidRDefault="003F505D" w:rsidP="003F505D">
      <w:pPr>
        <w:ind w:left="708"/>
        <w:jc w:val="both"/>
        <w:rPr>
          <w:rFonts w:cs="Arial"/>
          <w:color w:val="auto"/>
          <w:sz w:val="20"/>
          <w:szCs w:val="22"/>
        </w:rPr>
      </w:pPr>
      <w:r w:rsidRPr="003F505D">
        <w:rPr>
          <w:rFonts w:cs="Arial"/>
          <w:i/>
          <w:color w:val="auto"/>
          <w:sz w:val="20"/>
          <w:szCs w:val="22"/>
        </w:rPr>
        <w:t>La Entidad de Fiscalización, a más tardar el 31 de octubre de 2023, establecerá los lineamientos técnicos, incluida la eficiencia mínima y la metodología de que trata el inciso anterior, tanto para la evaluación de la eficiencia de la Tea como para la presentación del informe de resultados, en concordancia con estándares internacionales y mejores prácticas aplicables a la materia</w:t>
      </w:r>
      <w:r w:rsidRPr="003F505D">
        <w:rPr>
          <w:rFonts w:cs="Arial"/>
          <w:color w:val="auto"/>
          <w:sz w:val="20"/>
          <w:szCs w:val="22"/>
        </w:rPr>
        <w:t xml:space="preserve">.” (…)  </w:t>
      </w:r>
    </w:p>
    <w:p w14:paraId="5A8FB93D" w14:textId="77777777" w:rsidR="003F505D" w:rsidRPr="003F505D" w:rsidRDefault="003F505D" w:rsidP="003F505D">
      <w:pPr>
        <w:ind w:left="708"/>
        <w:jc w:val="both"/>
        <w:rPr>
          <w:rFonts w:cs="Arial"/>
          <w:color w:val="auto"/>
          <w:sz w:val="20"/>
          <w:szCs w:val="22"/>
        </w:rPr>
      </w:pPr>
    </w:p>
    <w:p w14:paraId="1E90F18F" w14:textId="77777777" w:rsidR="00247B44" w:rsidRPr="00CE04B0" w:rsidRDefault="00247B44" w:rsidP="001B3530">
      <w:pPr>
        <w:pStyle w:val="Ttulo1"/>
        <w:numPr>
          <w:ilvl w:val="0"/>
          <w:numId w:val="5"/>
        </w:numPr>
        <w:rPr>
          <w:rFonts w:cs="Arial"/>
        </w:rPr>
      </w:pPr>
      <w:bookmarkStart w:id="30" w:name="_Toc138340215"/>
      <w:bookmarkStart w:id="31" w:name="_Toc145672301"/>
      <w:r w:rsidRPr="00CE04B0">
        <w:rPr>
          <w:rFonts w:cs="Arial"/>
        </w:rPr>
        <w:lastRenderedPageBreak/>
        <w:t>DEFINICIONES</w:t>
      </w:r>
      <w:bookmarkEnd w:id="30"/>
      <w:bookmarkEnd w:id="31"/>
    </w:p>
    <w:p w14:paraId="398FBC97" w14:textId="77777777" w:rsidR="00247B44" w:rsidRPr="003B60A3" w:rsidRDefault="00247B44" w:rsidP="00C75132">
      <w:pPr>
        <w:jc w:val="both"/>
        <w:rPr>
          <w:rFonts w:cs="Arial"/>
          <w:color w:val="auto"/>
          <w:szCs w:val="22"/>
        </w:rPr>
      </w:pPr>
    </w:p>
    <w:p w14:paraId="5A42B054" w14:textId="465C130C" w:rsidR="00247B44" w:rsidRPr="00711A9E" w:rsidRDefault="00247B44" w:rsidP="00C75132">
      <w:pPr>
        <w:jc w:val="both"/>
        <w:rPr>
          <w:rFonts w:cs="Arial"/>
          <w:color w:val="auto"/>
          <w:szCs w:val="22"/>
        </w:rPr>
      </w:pPr>
      <w:r w:rsidRPr="00711A9E">
        <w:rPr>
          <w:rFonts w:cs="Arial"/>
          <w:color w:val="auto"/>
          <w:szCs w:val="22"/>
        </w:rPr>
        <w:t xml:space="preserve">Se deberán considerar todas las definiciones </w:t>
      </w:r>
      <w:r w:rsidR="00B804F8">
        <w:rPr>
          <w:rFonts w:cs="Arial"/>
          <w:color w:val="auto"/>
          <w:szCs w:val="22"/>
        </w:rPr>
        <w:t>contenidas</w:t>
      </w:r>
      <w:r w:rsidR="00B804F8" w:rsidRPr="00711A9E">
        <w:rPr>
          <w:rFonts w:cs="Arial"/>
          <w:color w:val="auto"/>
          <w:szCs w:val="22"/>
        </w:rPr>
        <w:t xml:space="preserve"> </w:t>
      </w:r>
      <w:r w:rsidRPr="00711A9E">
        <w:rPr>
          <w:rFonts w:cs="Arial"/>
          <w:color w:val="auto"/>
          <w:szCs w:val="22"/>
        </w:rPr>
        <w:t xml:space="preserve">en el artículo </w:t>
      </w:r>
      <w:r w:rsidR="00987E2E">
        <w:rPr>
          <w:rFonts w:cs="Arial"/>
          <w:color w:val="auto"/>
          <w:szCs w:val="22"/>
        </w:rPr>
        <w:t>1</w:t>
      </w:r>
      <w:r w:rsidRPr="00711A9E">
        <w:rPr>
          <w:rFonts w:cs="Arial"/>
          <w:color w:val="auto"/>
          <w:szCs w:val="22"/>
        </w:rPr>
        <w:t xml:space="preserve"> de la Resolución 40</w:t>
      </w:r>
      <w:r w:rsidR="00987E2E">
        <w:rPr>
          <w:rFonts w:cs="Arial"/>
          <w:color w:val="auto"/>
          <w:szCs w:val="22"/>
        </w:rPr>
        <w:t>317</w:t>
      </w:r>
      <w:r w:rsidRPr="00711A9E">
        <w:rPr>
          <w:rFonts w:cs="Arial"/>
          <w:color w:val="auto"/>
          <w:szCs w:val="22"/>
        </w:rPr>
        <w:t xml:space="preserve"> de 202</w:t>
      </w:r>
      <w:r w:rsidR="00987E2E">
        <w:rPr>
          <w:rFonts w:cs="Arial"/>
          <w:color w:val="auto"/>
          <w:szCs w:val="22"/>
        </w:rPr>
        <w:t>3</w:t>
      </w:r>
      <w:r w:rsidRPr="00711A9E">
        <w:rPr>
          <w:rFonts w:cs="Arial"/>
          <w:color w:val="auto"/>
          <w:szCs w:val="22"/>
        </w:rPr>
        <w:t xml:space="preserve"> </w:t>
      </w:r>
      <w:r w:rsidRPr="00711A9E">
        <w:rPr>
          <w:rFonts w:cs="Arial"/>
          <w:i/>
          <w:color w:val="auto"/>
          <w:szCs w:val="22"/>
        </w:rPr>
        <w:t>“</w:t>
      </w:r>
      <w:r w:rsidR="00987E2E" w:rsidRPr="00987E2E">
        <w:rPr>
          <w:rFonts w:cs="Arial"/>
          <w:i/>
          <w:color w:val="auto"/>
          <w:szCs w:val="22"/>
        </w:rPr>
        <w:t>Por la cual se modifica la Resolución 40066 de 11 de febrero de 2022, mediante la cual se establecen requerimientos técnicos para la detección y reparación de fugas, el aprovechamiento, quema y venteo de gas natural durante las actividades de exploración y explotación de hidrocarburos</w:t>
      </w:r>
      <w:r w:rsidRPr="00711A9E">
        <w:rPr>
          <w:rFonts w:cs="Arial"/>
          <w:i/>
          <w:color w:val="auto"/>
          <w:szCs w:val="22"/>
        </w:rPr>
        <w:t>”</w:t>
      </w:r>
      <w:r w:rsidR="00987E2E">
        <w:rPr>
          <w:rFonts w:cs="Arial"/>
          <w:color w:val="auto"/>
          <w:szCs w:val="22"/>
        </w:rPr>
        <w:t xml:space="preserve"> que modific</w:t>
      </w:r>
      <w:r w:rsidR="00B804F8">
        <w:rPr>
          <w:rFonts w:cs="Arial"/>
          <w:color w:val="auto"/>
          <w:szCs w:val="22"/>
        </w:rPr>
        <w:t>ó</w:t>
      </w:r>
      <w:r w:rsidR="00987E2E">
        <w:rPr>
          <w:rFonts w:cs="Arial"/>
          <w:color w:val="auto"/>
          <w:szCs w:val="22"/>
        </w:rPr>
        <w:t xml:space="preserve"> el artículo 3 de la Resolución 40066 de 2022, en especial las relacionadas con: </w:t>
      </w:r>
      <w:r w:rsidR="00987E2E" w:rsidRPr="00987E2E">
        <w:rPr>
          <w:rFonts w:cs="Arial"/>
          <w:color w:val="auto"/>
          <w:szCs w:val="22"/>
        </w:rPr>
        <w:t>Aprovechamiento de Gas Natural, Estudio Técnico-Económico, Gas Natural Económicamente Inviable, Quema de Gas Natural, Quema de Gas Natural por Seguridad, Quema Operacional de Gas Natural, Gas Natural Económicamente inviable, Tea</w:t>
      </w:r>
      <w:r w:rsidR="00B804F8">
        <w:rPr>
          <w:rFonts w:cs="Arial"/>
          <w:color w:val="auto"/>
          <w:szCs w:val="22"/>
        </w:rPr>
        <w:t xml:space="preserve"> y</w:t>
      </w:r>
      <w:r w:rsidR="00987E2E" w:rsidRPr="00987E2E">
        <w:rPr>
          <w:rFonts w:cs="Arial"/>
          <w:color w:val="auto"/>
          <w:szCs w:val="22"/>
        </w:rPr>
        <w:t xml:space="preserve"> Tea de Baja</w:t>
      </w:r>
      <w:r w:rsidRPr="00711A9E">
        <w:rPr>
          <w:rFonts w:cs="Arial"/>
          <w:color w:val="auto"/>
          <w:szCs w:val="22"/>
        </w:rPr>
        <w:t xml:space="preserve">.  </w:t>
      </w:r>
    </w:p>
    <w:p w14:paraId="4B7362FA" w14:textId="77777777" w:rsidR="00247B44" w:rsidRPr="00711A9E" w:rsidRDefault="00247B44" w:rsidP="00C75132">
      <w:pPr>
        <w:jc w:val="both"/>
        <w:rPr>
          <w:rFonts w:cs="Arial"/>
          <w:color w:val="auto"/>
          <w:szCs w:val="22"/>
        </w:rPr>
      </w:pPr>
    </w:p>
    <w:p w14:paraId="24A8F035" w14:textId="5F2AC5D2" w:rsidR="00247B44" w:rsidRDefault="00247B44" w:rsidP="00C75132">
      <w:pPr>
        <w:jc w:val="both"/>
        <w:rPr>
          <w:rFonts w:cs="Arial"/>
          <w:color w:val="auto"/>
          <w:szCs w:val="22"/>
        </w:rPr>
      </w:pPr>
      <w:r w:rsidRPr="00711A9E">
        <w:rPr>
          <w:rFonts w:cs="Arial"/>
          <w:color w:val="auto"/>
          <w:szCs w:val="22"/>
        </w:rPr>
        <w:t>Adicionalmente, para dar alcance al detalle de la información que deberá</w:t>
      </w:r>
      <w:r w:rsidR="00762982">
        <w:rPr>
          <w:rFonts w:cs="Arial"/>
          <w:color w:val="auto"/>
          <w:szCs w:val="22"/>
        </w:rPr>
        <w:t>n</w:t>
      </w:r>
      <w:r w:rsidRPr="00711A9E">
        <w:rPr>
          <w:rFonts w:cs="Arial"/>
          <w:color w:val="auto"/>
          <w:szCs w:val="22"/>
        </w:rPr>
        <w:t xml:space="preserve"> entregar </w:t>
      </w:r>
      <w:r w:rsidR="00B804F8">
        <w:rPr>
          <w:rFonts w:cs="Arial"/>
          <w:color w:val="auto"/>
          <w:szCs w:val="22"/>
        </w:rPr>
        <w:t>la</w:t>
      </w:r>
      <w:r w:rsidR="00762982">
        <w:rPr>
          <w:rFonts w:cs="Arial"/>
          <w:color w:val="auto"/>
          <w:szCs w:val="22"/>
        </w:rPr>
        <w:t>s</w:t>
      </w:r>
      <w:r w:rsidR="00B804F8">
        <w:rPr>
          <w:rFonts w:cs="Arial"/>
          <w:color w:val="auto"/>
          <w:szCs w:val="22"/>
        </w:rPr>
        <w:t xml:space="preserve"> Compañía</w:t>
      </w:r>
      <w:r w:rsidR="00762982">
        <w:rPr>
          <w:rFonts w:cs="Arial"/>
          <w:color w:val="auto"/>
          <w:szCs w:val="22"/>
        </w:rPr>
        <w:t>s</w:t>
      </w:r>
      <w:r w:rsidR="00B804F8">
        <w:rPr>
          <w:rFonts w:cs="Arial"/>
          <w:color w:val="auto"/>
          <w:szCs w:val="22"/>
        </w:rPr>
        <w:t xml:space="preserve"> O</w:t>
      </w:r>
      <w:r w:rsidRPr="00711A9E">
        <w:rPr>
          <w:rFonts w:cs="Arial"/>
          <w:color w:val="auto"/>
          <w:szCs w:val="22"/>
        </w:rPr>
        <w:t>perador</w:t>
      </w:r>
      <w:r w:rsidR="00B804F8">
        <w:rPr>
          <w:rFonts w:cs="Arial"/>
          <w:color w:val="auto"/>
          <w:szCs w:val="22"/>
        </w:rPr>
        <w:t>a</w:t>
      </w:r>
      <w:r w:rsidR="00762982">
        <w:rPr>
          <w:rFonts w:cs="Arial"/>
          <w:color w:val="auto"/>
          <w:szCs w:val="22"/>
        </w:rPr>
        <w:t>s</w:t>
      </w:r>
      <w:r w:rsidRPr="00711A9E">
        <w:rPr>
          <w:rFonts w:cs="Arial"/>
          <w:color w:val="auto"/>
          <w:szCs w:val="22"/>
        </w:rPr>
        <w:t xml:space="preserve">, se </w:t>
      </w:r>
      <w:r w:rsidR="00B804F8">
        <w:rPr>
          <w:rFonts w:cs="Arial"/>
          <w:color w:val="auto"/>
          <w:szCs w:val="22"/>
        </w:rPr>
        <w:t>incluyen</w:t>
      </w:r>
      <w:r w:rsidR="00B804F8" w:rsidRPr="00711A9E">
        <w:rPr>
          <w:rFonts w:cs="Arial"/>
          <w:color w:val="auto"/>
          <w:szCs w:val="22"/>
        </w:rPr>
        <w:t xml:space="preserve"> </w:t>
      </w:r>
      <w:r w:rsidR="00554C50" w:rsidRPr="00711A9E">
        <w:rPr>
          <w:rFonts w:cs="Arial"/>
          <w:color w:val="auto"/>
          <w:szCs w:val="22"/>
        </w:rPr>
        <w:t>las siguientes definiciones</w:t>
      </w:r>
      <w:r w:rsidRPr="00711A9E">
        <w:rPr>
          <w:rFonts w:cs="Arial"/>
          <w:color w:val="auto"/>
          <w:szCs w:val="22"/>
        </w:rPr>
        <w:t>:</w:t>
      </w:r>
    </w:p>
    <w:p w14:paraId="189A0E89" w14:textId="692C585C" w:rsidR="00554C50" w:rsidRDefault="00554C50" w:rsidP="00C75132">
      <w:pPr>
        <w:jc w:val="both"/>
        <w:rPr>
          <w:rFonts w:cs="Arial"/>
          <w:color w:val="auto"/>
          <w:szCs w:val="22"/>
        </w:rPr>
      </w:pPr>
    </w:p>
    <w:p w14:paraId="6546C345" w14:textId="06F40393" w:rsidR="00554C50" w:rsidRPr="00B720BF" w:rsidRDefault="00554C50" w:rsidP="00B720BF">
      <w:pPr>
        <w:pStyle w:val="Prrafodelista"/>
        <w:numPr>
          <w:ilvl w:val="0"/>
          <w:numId w:val="2"/>
        </w:numPr>
        <w:rPr>
          <w:rFonts w:cs="Arial"/>
          <w:i/>
          <w:szCs w:val="22"/>
        </w:rPr>
      </w:pPr>
      <w:r w:rsidRPr="00B720BF">
        <w:rPr>
          <w:rFonts w:cs="Arial"/>
          <w:b/>
          <w:szCs w:val="22"/>
        </w:rPr>
        <w:t>Combustión Incompleta</w:t>
      </w:r>
      <w:r w:rsidRPr="00B720BF">
        <w:rPr>
          <w:rFonts w:cs="Arial"/>
          <w:szCs w:val="22"/>
        </w:rPr>
        <w:t>: A diferencia de la combustión completa donde los compuestos orgánicos se oxidan convirtiéndose en CO</w:t>
      </w:r>
      <w:r w:rsidRPr="00B720BF">
        <w:rPr>
          <w:rFonts w:cs="Arial"/>
          <w:szCs w:val="22"/>
          <w:vertAlign w:val="subscript"/>
        </w:rPr>
        <w:t>2</w:t>
      </w:r>
      <w:r w:rsidRPr="00B720BF">
        <w:rPr>
          <w:rFonts w:cs="Arial"/>
          <w:szCs w:val="22"/>
        </w:rPr>
        <w:t xml:space="preserve"> y H</w:t>
      </w:r>
      <w:r w:rsidRPr="00B720BF">
        <w:rPr>
          <w:rFonts w:cs="Arial"/>
          <w:szCs w:val="22"/>
          <w:vertAlign w:val="subscript"/>
        </w:rPr>
        <w:t>2</w:t>
      </w:r>
      <w:r w:rsidRPr="00B720BF">
        <w:rPr>
          <w:rFonts w:cs="Arial"/>
          <w:szCs w:val="22"/>
        </w:rPr>
        <w:t>O</w:t>
      </w:r>
      <w:r w:rsidR="007C0A82">
        <w:rPr>
          <w:rFonts w:cs="Arial"/>
          <w:szCs w:val="22"/>
        </w:rPr>
        <w:t>, l</w:t>
      </w:r>
      <w:r w:rsidRPr="00B720BF">
        <w:rPr>
          <w:rFonts w:cs="Arial"/>
          <w:szCs w:val="22"/>
        </w:rPr>
        <w:t>a combustión incompleta se caracteriza porque algunos de los compuestos orgánicos no se oxidan completamente y se producen gases de combustión como el monóxido de carbono. Esto puede deberse a la falta de oxígeno (comburente) o a condiciones específicas de la reacción como bajas temperaturas</w:t>
      </w:r>
      <w:r w:rsidR="004E6696">
        <w:rPr>
          <w:rFonts w:cs="Arial"/>
          <w:szCs w:val="22"/>
        </w:rPr>
        <w:t xml:space="preserve"> </w:t>
      </w:r>
      <w:sdt>
        <w:sdtPr>
          <w:rPr>
            <w:rFonts w:cs="Arial"/>
            <w:color w:val="000000"/>
            <w:szCs w:val="22"/>
          </w:rPr>
          <w:tag w:val="MENDELEY_CITATION_v3_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"/>
          <w:id w:val="-1776782554"/>
          <w:placeholder>
            <w:docPart w:val="DefaultPlaceholder_-1854013440"/>
          </w:placeholder>
        </w:sdtPr>
        <w:sdtEndPr/>
        <w:sdtContent>
          <w:r w:rsidR="00A44BAA" w:rsidRPr="00A44BAA">
            <w:rPr>
              <w:rFonts w:cs="Arial"/>
              <w:color w:val="000000"/>
              <w:szCs w:val="22"/>
            </w:rPr>
            <w:t>[1]</w:t>
          </w:r>
        </w:sdtContent>
      </w:sdt>
      <w:r w:rsidRPr="00B720BF">
        <w:rPr>
          <w:rFonts w:cs="Arial"/>
          <w:szCs w:val="22"/>
        </w:rPr>
        <w:t xml:space="preserve">. </w:t>
      </w:r>
    </w:p>
    <w:p w14:paraId="5B0D72E8" w14:textId="2DFE123D" w:rsidR="0025218A" w:rsidRPr="00B720BF" w:rsidRDefault="0025218A" w:rsidP="00554C50">
      <w:pPr>
        <w:ind w:left="360" w:hanging="360"/>
        <w:jc w:val="both"/>
        <w:rPr>
          <w:rFonts w:cs="Arial"/>
          <w:color w:val="auto"/>
          <w:szCs w:val="22"/>
        </w:rPr>
      </w:pPr>
    </w:p>
    <w:p w14:paraId="7B884397" w14:textId="77777777" w:rsidR="00762982" w:rsidRPr="00CD7510" w:rsidRDefault="0025218A" w:rsidP="00762982">
      <w:pPr>
        <w:pStyle w:val="Prrafodelista"/>
        <w:numPr>
          <w:ilvl w:val="0"/>
          <w:numId w:val="2"/>
        </w:numPr>
        <w:rPr>
          <w:rFonts w:cs="Arial"/>
          <w:i/>
          <w:szCs w:val="22"/>
        </w:rPr>
      </w:pPr>
      <w:r w:rsidRPr="00B720BF">
        <w:rPr>
          <w:rFonts w:cs="Arial"/>
          <w:b/>
          <w:szCs w:val="22"/>
        </w:rPr>
        <w:t>Eficiencia de Destrucción o Remoción (DRE -</w:t>
      </w:r>
      <w:r w:rsidR="00762982">
        <w:rPr>
          <w:rFonts w:cs="Arial"/>
          <w:b/>
          <w:szCs w:val="22"/>
        </w:rPr>
        <w:t xml:space="preserve"> </w:t>
      </w:r>
      <w:proofErr w:type="spellStart"/>
      <w:r w:rsidRPr="00B720BF">
        <w:rPr>
          <w:rFonts w:cs="Arial"/>
          <w:b/>
          <w:szCs w:val="22"/>
        </w:rPr>
        <w:t>Destruction</w:t>
      </w:r>
      <w:proofErr w:type="spellEnd"/>
      <w:r w:rsidRPr="00B720BF">
        <w:rPr>
          <w:rFonts w:cs="Arial"/>
          <w:b/>
          <w:szCs w:val="22"/>
        </w:rPr>
        <w:t xml:space="preserve"> </w:t>
      </w:r>
      <w:proofErr w:type="spellStart"/>
      <w:r w:rsidRPr="00B720BF">
        <w:rPr>
          <w:rFonts w:cs="Arial"/>
          <w:b/>
          <w:szCs w:val="22"/>
        </w:rPr>
        <w:t>or</w:t>
      </w:r>
      <w:proofErr w:type="spellEnd"/>
      <w:r w:rsidRPr="00B720BF">
        <w:rPr>
          <w:rFonts w:cs="Arial"/>
          <w:b/>
          <w:szCs w:val="22"/>
        </w:rPr>
        <w:t xml:space="preserve"> </w:t>
      </w:r>
      <w:proofErr w:type="spellStart"/>
      <w:r w:rsidRPr="00B720BF">
        <w:rPr>
          <w:rFonts w:cs="Arial"/>
          <w:b/>
          <w:szCs w:val="22"/>
        </w:rPr>
        <w:t>Removal</w:t>
      </w:r>
      <w:proofErr w:type="spellEnd"/>
      <w:r w:rsidRPr="00B720BF">
        <w:rPr>
          <w:rFonts w:cs="Arial"/>
          <w:b/>
          <w:szCs w:val="22"/>
        </w:rPr>
        <w:t xml:space="preserve"> </w:t>
      </w:r>
      <w:proofErr w:type="spellStart"/>
      <w:r w:rsidRPr="00B720BF">
        <w:rPr>
          <w:rFonts w:cs="Arial"/>
          <w:b/>
          <w:szCs w:val="22"/>
        </w:rPr>
        <w:t>Efficiency</w:t>
      </w:r>
      <w:proofErr w:type="spellEnd"/>
      <w:r w:rsidRPr="00B720BF">
        <w:rPr>
          <w:rFonts w:cs="Arial"/>
          <w:b/>
          <w:szCs w:val="22"/>
        </w:rPr>
        <w:t>):</w:t>
      </w:r>
      <w:r w:rsidRPr="00B720BF">
        <w:rPr>
          <w:rFonts w:cs="Arial"/>
          <w:szCs w:val="22"/>
        </w:rPr>
        <w:t xml:space="preserve"> La eficiencia de destrucción o remoción (DRE) es la capacidad de un dispositivo de control para destruir o remover un determinado componente. El DRE de un componente específico es igual a uno menos la razón entre la cantidad del componente que sale y los que entran en el dispositivo de control. </w:t>
      </w:r>
    </w:p>
    <w:p w14:paraId="359602D9" w14:textId="77777777" w:rsidR="00762982" w:rsidRPr="00762982" w:rsidRDefault="00762982" w:rsidP="00474CD3">
      <w:pPr>
        <w:pStyle w:val="Prrafodelista"/>
        <w:rPr>
          <w:rFonts w:cs="Arial"/>
          <w:szCs w:val="22"/>
        </w:rPr>
      </w:pPr>
    </w:p>
    <w:p w14:paraId="24102D30" w14:textId="1E5980EB" w:rsidR="00554C50" w:rsidRPr="00762982" w:rsidRDefault="00762982" w:rsidP="00CD7510">
      <w:pPr>
        <w:pStyle w:val="Prrafodelista"/>
        <w:ind w:left="-142"/>
        <w:rPr>
          <w:rFonts w:cs="Arial"/>
          <w:i/>
          <w:szCs w:val="22"/>
        </w:rPr>
      </w:pPr>
      <w:r>
        <w:rPr>
          <w:rFonts w:cs="Arial"/>
          <w:szCs w:val="22"/>
        </w:rPr>
        <w:t>P</w:t>
      </w:r>
      <w:r w:rsidR="0025218A" w:rsidRPr="00762982">
        <w:rPr>
          <w:rFonts w:cs="Arial"/>
          <w:szCs w:val="22"/>
        </w:rPr>
        <w:t>ara efectos de los presentes lineamientos técnicos, cuando se habla de DRE se hace referencia a la eficiencia de destrucción del metano</w:t>
      </w:r>
      <w:r w:rsidR="000C0A4D" w:rsidRPr="00762982">
        <w:rPr>
          <w:rFonts w:cs="Arial"/>
          <w:szCs w:val="22"/>
        </w:rPr>
        <w:t xml:space="preserve"> </w:t>
      </w:r>
      <w:sdt>
        <w:sdtPr>
          <w:tag w:val="MENDELEY_CITATION_v3_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"/>
          <w:id w:val="-1829276932"/>
          <w:placeholder>
            <w:docPart w:val="DefaultPlaceholder_-1854013440"/>
          </w:placeholder>
        </w:sdtPr>
        <w:sdtEndPr/>
        <w:sdtContent>
          <w:r w:rsidR="00A44BAA" w:rsidRPr="00762982">
            <w:rPr>
              <w:rFonts w:cs="Arial"/>
              <w:color w:val="000000"/>
              <w:szCs w:val="22"/>
            </w:rPr>
            <w:t>[2]</w:t>
          </w:r>
        </w:sdtContent>
      </w:sdt>
      <w:r w:rsidR="0025218A" w:rsidRPr="00762982">
        <w:rPr>
          <w:rFonts w:cs="Arial"/>
          <w:szCs w:val="22"/>
        </w:rPr>
        <w:t xml:space="preserve">. </w:t>
      </w:r>
    </w:p>
    <w:p w14:paraId="70C430A1" w14:textId="7416118A" w:rsidR="00247B44" w:rsidRDefault="00247B44" w:rsidP="00C75132">
      <w:pPr>
        <w:jc w:val="both"/>
        <w:rPr>
          <w:rFonts w:cs="Arial"/>
          <w:color w:val="auto"/>
          <w:szCs w:val="22"/>
        </w:rPr>
      </w:pPr>
    </w:p>
    <w:p w14:paraId="226BF50D" w14:textId="4EE04DA2" w:rsidR="00B720BF" w:rsidRDefault="00B720BF" w:rsidP="008771F8">
      <w:pPr>
        <w:pStyle w:val="Prrafodelista"/>
        <w:numPr>
          <w:ilvl w:val="0"/>
          <w:numId w:val="2"/>
        </w:numPr>
        <w:rPr>
          <w:rFonts w:cs="Arial"/>
          <w:szCs w:val="22"/>
        </w:rPr>
      </w:pPr>
      <w:r w:rsidRPr="000C0A4D">
        <w:rPr>
          <w:rFonts w:cs="Arial"/>
          <w:b/>
          <w:szCs w:val="22"/>
        </w:rPr>
        <w:t>Eficiencia de combustión (CE</w:t>
      </w:r>
      <w:r w:rsidR="00762982">
        <w:rPr>
          <w:rFonts w:cs="Arial"/>
          <w:b/>
          <w:szCs w:val="22"/>
        </w:rPr>
        <w:t xml:space="preserve"> </w:t>
      </w:r>
      <w:proofErr w:type="spellStart"/>
      <w:r w:rsidRPr="000C0A4D">
        <w:rPr>
          <w:rFonts w:cs="Arial"/>
          <w:b/>
          <w:szCs w:val="22"/>
        </w:rPr>
        <w:t>Combustion</w:t>
      </w:r>
      <w:proofErr w:type="spellEnd"/>
      <w:r w:rsidRPr="000C0A4D">
        <w:rPr>
          <w:rFonts w:cs="Arial"/>
          <w:b/>
          <w:szCs w:val="22"/>
        </w:rPr>
        <w:t xml:space="preserve"> </w:t>
      </w:r>
      <w:proofErr w:type="spellStart"/>
      <w:r w:rsidRPr="000C0A4D">
        <w:rPr>
          <w:rFonts w:cs="Arial"/>
          <w:b/>
          <w:szCs w:val="22"/>
        </w:rPr>
        <w:t>Efficiency</w:t>
      </w:r>
      <w:proofErr w:type="spellEnd"/>
      <w:r w:rsidRPr="000C0A4D">
        <w:rPr>
          <w:rFonts w:cs="Arial"/>
          <w:b/>
          <w:szCs w:val="22"/>
        </w:rPr>
        <w:t>):</w:t>
      </w:r>
      <w:r w:rsidRPr="000C0A4D">
        <w:rPr>
          <w:rFonts w:cs="Arial"/>
          <w:szCs w:val="22"/>
        </w:rPr>
        <w:t xml:space="preserve"> se define como la proporción de la masa de carbono completamente oxidado</w:t>
      </w:r>
      <w:r w:rsidR="00115184">
        <w:rPr>
          <w:rFonts w:cs="Arial"/>
          <w:szCs w:val="22"/>
        </w:rPr>
        <w:t xml:space="preserve">; </w:t>
      </w:r>
      <w:r w:rsidRPr="000C0A4D">
        <w:rPr>
          <w:rFonts w:cs="Arial"/>
          <w:szCs w:val="22"/>
        </w:rPr>
        <w:t>es decir, la masa de carbono dentro del dióxido de carbono producida por la combustión en relación con la masa de carbono en forma de hidrocarburos presentes en la corriente de combustible</w:t>
      </w:r>
      <w:r w:rsidR="000C0A4D">
        <w:rPr>
          <w:rFonts w:cs="Arial"/>
          <w:szCs w:val="22"/>
        </w:rPr>
        <w:t xml:space="preserve"> </w:t>
      </w:r>
      <w:sdt>
        <w:sdtPr>
          <w:rPr>
            <w:rFonts w:cs="Arial"/>
            <w:color w:val="000000"/>
            <w:szCs w:val="22"/>
          </w:rPr>
          <w:tag w:val="MENDELEY_CITATION_v3_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"/>
          <w:id w:val="1606001750"/>
          <w:placeholder>
            <w:docPart w:val="DefaultPlaceholder_-1854013440"/>
          </w:placeholder>
        </w:sdtPr>
        <w:sdtEndPr/>
        <w:sdtContent>
          <w:r w:rsidR="00A44BAA" w:rsidRPr="00A44BAA">
            <w:rPr>
              <w:rFonts w:cs="Arial"/>
              <w:color w:val="000000"/>
              <w:szCs w:val="22"/>
            </w:rPr>
            <w:t>[2]</w:t>
          </w:r>
        </w:sdtContent>
      </w:sdt>
      <w:r w:rsidRPr="000C0A4D">
        <w:rPr>
          <w:rFonts w:cs="Arial"/>
          <w:szCs w:val="22"/>
        </w:rPr>
        <w:t xml:space="preserve">. </w:t>
      </w:r>
    </w:p>
    <w:p w14:paraId="5AD4EE69" w14:textId="77777777" w:rsidR="000C0A4D" w:rsidRPr="000C0A4D" w:rsidRDefault="000C0A4D" w:rsidP="000C0A4D">
      <w:pPr>
        <w:pStyle w:val="Prrafodelista"/>
        <w:rPr>
          <w:rFonts w:cs="Arial"/>
          <w:szCs w:val="22"/>
        </w:rPr>
      </w:pPr>
    </w:p>
    <w:p w14:paraId="76F28782" w14:textId="391766D5" w:rsidR="00B720BF" w:rsidRDefault="00762982" w:rsidP="00C75132">
      <w:pPr>
        <w:jc w:val="both"/>
        <w:rPr>
          <w:rFonts w:cs="Arial"/>
          <w:color w:val="auto"/>
          <w:szCs w:val="22"/>
        </w:rPr>
      </w:pPr>
      <w:r>
        <w:rPr>
          <w:rFonts w:cs="Arial"/>
          <w:color w:val="auto"/>
          <w:szCs w:val="22"/>
        </w:rPr>
        <w:t>Es así como l</w:t>
      </w:r>
      <w:r w:rsidR="00B720BF" w:rsidRPr="00B720BF">
        <w:rPr>
          <w:rFonts w:cs="Arial"/>
          <w:color w:val="auto"/>
          <w:szCs w:val="22"/>
        </w:rPr>
        <w:t>a eficiencia de combustión (CE) y la eficiencia de restricción o remoción (DRE) son términos que a menudo se utilizan indistintamente y, por lo tanto, suelen generar confusión. DRE se refiere a la medida de cuánto metano</w:t>
      </w:r>
      <w:r w:rsidR="00B720BF">
        <w:rPr>
          <w:rFonts w:cs="Arial"/>
          <w:color w:val="auto"/>
          <w:szCs w:val="22"/>
        </w:rPr>
        <w:t xml:space="preserve"> </w:t>
      </w:r>
      <w:r w:rsidR="00B720BF" w:rsidRPr="00B720BF">
        <w:rPr>
          <w:rFonts w:cs="Arial"/>
          <w:color w:val="auto"/>
          <w:szCs w:val="22"/>
        </w:rPr>
        <w:t>e</w:t>
      </w:r>
      <w:r w:rsidR="00B720BF">
        <w:rPr>
          <w:rFonts w:cs="Arial"/>
          <w:color w:val="auto"/>
          <w:szCs w:val="22"/>
        </w:rPr>
        <w:t>s</w:t>
      </w:r>
      <w:r w:rsidR="00B720BF" w:rsidRPr="00B720BF">
        <w:rPr>
          <w:rFonts w:cs="Arial"/>
          <w:color w:val="auto"/>
          <w:szCs w:val="22"/>
        </w:rPr>
        <w:t xml:space="preserve"> destruido (para formar CO</w:t>
      </w:r>
      <w:r w:rsidR="00B720BF" w:rsidRPr="00B720BF">
        <w:rPr>
          <w:rFonts w:cs="Arial"/>
          <w:color w:val="auto"/>
          <w:szCs w:val="22"/>
          <w:vertAlign w:val="subscript"/>
        </w:rPr>
        <w:t>2</w:t>
      </w:r>
      <w:r w:rsidR="00B720BF" w:rsidRPr="00B720BF">
        <w:rPr>
          <w:rFonts w:cs="Arial"/>
          <w:color w:val="auto"/>
          <w:szCs w:val="22"/>
        </w:rPr>
        <w:t xml:space="preserve"> y CO), mientras que CE </w:t>
      </w:r>
      <w:r w:rsidR="00115184">
        <w:rPr>
          <w:rFonts w:cs="Arial"/>
          <w:color w:val="auto"/>
          <w:szCs w:val="22"/>
        </w:rPr>
        <w:t xml:space="preserve">especifica cuántos </w:t>
      </w:r>
      <w:r w:rsidR="00B720BF" w:rsidRPr="00B720BF">
        <w:rPr>
          <w:rFonts w:cs="Arial"/>
          <w:color w:val="auto"/>
          <w:szCs w:val="22"/>
        </w:rPr>
        <w:t>de los hidrocarburos originales se queman completamente y se transforman en CO</w:t>
      </w:r>
      <w:r w:rsidR="00B720BF" w:rsidRPr="00B720BF">
        <w:rPr>
          <w:rFonts w:cs="Arial"/>
          <w:color w:val="auto"/>
          <w:szCs w:val="22"/>
          <w:vertAlign w:val="subscript"/>
        </w:rPr>
        <w:t>2</w:t>
      </w:r>
      <w:r w:rsidR="00B720BF" w:rsidRPr="00B720BF">
        <w:rPr>
          <w:rFonts w:cs="Arial"/>
          <w:color w:val="auto"/>
          <w:szCs w:val="22"/>
        </w:rPr>
        <w:t xml:space="preserve"> y vapor de agua.</w:t>
      </w:r>
    </w:p>
    <w:p w14:paraId="72A202F2" w14:textId="581043C8" w:rsidR="00B720BF" w:rsidRDefault="00B720BF" w:rsidP="00C75132">
      <w:pPr>
        <w:jc w:val="both"/>
        <w:rPr>
          <w:rFonts w:cs="Arial"/>
          <w:color w:val="auto"/>
          <w:szCs w:val="22"/>
        </w:rPr>
      </w:pPr>
    </w:p>
    <w:p w14:paraId="318A86F3" w14:textId="77777777" w:rsidR="00247B44" w:rsidRPr="00474CD3" w:rsidRDefault="00247B44" w:rsidP="00BE6DA7">
      <w:pPr>
        <w:pStyle w:val="Ttulo1"/>
        <w:numPr>
          <w:ilvl w:val="0"/>
          <w:numId w:val="5"/>
        </w:numPr>
        <w:rPr>
          <w:rFonts w:cs="Arial"/>
        </w:rPr>
      </w:pPr>
      <w:bookmarkStart w:id="32" w:name="_Toc138340216"/>
      <w:bookmarkStart w:id="33" w:name="_Toc145672302"/>
      <w:r w:rsidRPr="00474CD3">
        <w:rPr>
          <w:rFonts w:cs="Arial"/>
        </w:rPr>
        <w:lastRenderedPageBreak/>
        <w:t>INTRODUCCIÓN</w:t>
      </w:r>
      <w:bookmarkEnd w:id="32"/>
      <w:bookmarkEnd w:id="33"/>
    </w:p>
    <w:p w14:paraId="2A67F8DD" w14:textId="77777777" w:rsidR="00247B44" w:rsidRDefault="00247B44" w:rsidP="003D7501"/>
    <w:p w14:paraId="7FA4D99C" w14:textId="5910843D" w:rsidR="00B00460" w:rsidRPr="00B00460" w:rsidRDefault="00B00460" w:rsidP="003D7501">
      <w:pPr>
        <w:jc w:val="both"/>
        <w:rPr>
          <w:rFonts w:cs="Arial"/>
          <w:color w:val="auto"/>
          <w:szCs w:val="22"/>
        </w:rPr>
      </w:pPr>
      <w:r w:rsidRPr="00B00460">
        <w:rPr>
          <w:rFonts w:cs="Arial"/>
          <w:color w:val="auto"/>
          <w:szCs w:val="22"/>
        </w:rPr>
        <w:t>La Tea como sistema de combustión es utilizada en las actividades de exploración y explotación de hidrocarburos, permite quemar el gas natural</w:t>
      </w:r>
      <w:r>
        <w:rPr>
          <w:rFonts w:cs="Arial"/>
          <w:color w:val="auto"/>
          <w:szCs w:val="22"/>
        </w:rPr>
        <w:t xml:space="preserve"> </w:t>
      </w:r>
      <w:r w:rsidRPr="00B00460">
        <w:rPr>
          <w:rFonts w:cs="Arial"/>
          <w:color w:val="auto"/>
          <w:szCs w:val="22"/>
        </w:rPr>
        <w:t>que, debido a la calidad o a la cantidad en que son producidos</w:t>
      </w:r>
      <w:r w:rsidR="00115184">
        <w:rPr>
          <w:rFonts w:cs="Arial"/>
          <w:color w:val="auto"/>
          <w:szCs w:val="22"/>
        </w:rPr>
        <w:t>,</w:t>
      </w:r>
      <w:r w:rsidRPr="00B00460">
        <w:rPr>
          <w:rFonts w:cs="Arial"/>
          <w:color w:val="auto"/>
          <w:szCs w:val="22"/>
        </w:rPr>
        <w:t xml:space="preserve"> no pueden ser aprovechados económicamente. La quema en </w:t>
      </w:r>
      <w:r w:rsidR="00115184">
        <w:rPr>
          <w:rFonts w:cs="Arial"/>
          <w:color w:val="auto"/>
          <w:szCs w:val="22"/>
        </w:rPr>
        <w:t>T</w:t>
      </w:r>
      <w:r w:rsidRPr="00B00460">
        <w:rPr>
          <w:rFonts w:cs="Arial"/>
          <w:color w:val="auto"/>
          <w:szCs w:val="22"/>
        </w:rPr>
        <w:t>ea puede ser necesaria por razones de seguridad en pozos y facilidades donde se dé el procesamiento de gas</w:t>
      </w:r>
      <w:r w:rsidR="00115184">
        <w:rPr>
          <w:rFonts w:cs="Arial"/>
          <w:color w:val="auto"/>
          <w:szCs w:val="22"/>
        </w:rPr>
        <w:t>;</w:t>
      </w:r>
      <w:r w:rsidRPr="00B00460">
        <w:rPr>
          <w:rFonts w:cs="Arial"/>
          <w:color w:val="auto"/>
          <w:szCs w:val="22"/>
        </w:rPr>
        <w:t xml:space="preserve"> igualmente</w:t>
      </w:r>
      <w:r w:rsidR="00115184">
        <w:rPr>
          <w:rFonts w:cs="Arial"/>
          <w:color w:val="auto"/>
          <w:szCs w:val="22"/>
        </w:rPr>
        <w:t>,</w:t>
      </w:r>
      <w:r w:rsidRPr="00B00460">
        <w:rPr>
          <w:rFonts w:cs="Arial"/>
          <w:color w:val="auto"/>
          <w:szCs w:val="22"/>
        </w:rPr>
        <w:t xml:space="preserve"> es típicamente usada cuando se realiza mantenimiento rutinario y no rutinario</w:t>
      </w:r>
      <w:r w:rsidR="00115184">
        <w:rPr>
          <w:rFonts w:cs="Arial"/>
          <w:color w:val="auto"/>
          <w:szCs w:val="22"/>
        </w:rPr>
        <w:t xml:space="preserve"> y</w:t>
      </w:r>
      <w:r w:rsidRPr="00B00460">
        <w:rPr>
          <w:rFonts w:cs="Arial"/>
          <w:color w:val="auto"/>
          <w:szCs w:val="22"/>
        </w:rPr>
        <w:t xml:space="preserve"> paradas de emergencia o sobre presiones que se puedan </w:t>
      </w:r>
      <w:r w:rsidR="00115184">
        <w:rPr>
          <w:rFonts w:cs="Arial"/>
          <w:color w:val="auto"/>
          <w:szCs w:val="22"/>
        </w:rPr>
        <w:t>generar</w:t>
      </w:r>
      <w:r w:rsidR="00115184" w:rsidRPr="00B00460">
        <w:rPr>
          <w:rFonts w:cs="Arial"/>
          <w:color w:val="auto"/>
          <w:szCs w:val="22"/>
        </w:rPr>
        <w:t xml:space="preserve"> </w:t>
      </w:r>
      <w:r w:rsidRPr="00B00460">
        <w:rPr>
          <w:rFonts w:cs="Arial"/>
          <w:color w:val="auto"/>
          <w:szCs w:val="22"/>
        </w:rPr>
        <w:t>dentro de la facilidad.</w:t>
      </w:r>
      <w:r>
        <w:rPr>
          <w:rFonts w:cs="Arial"/>
          <w:color w:val="auto"/>
          <w:szCs w:val="22"/>
        </w:rPr>
        <w:t xml:space="preserve"> </w:t>
      </w:r>
      <w:r w:rsidRPr="00B00460">
        <w:rPr>
          <w:rFonts w:cs="Arial"/>
          <w:color w:val="auto"/>
          <w:szCs w:val="22"/>
        </w:rPr>
        <w:t xml:space="preserve">La combustión de gas natural en </w:t>
      </w:r>
      <w:r w:rsidR="00115184">
        <w:rPr>
          <w:rFonts w:cs="Arial"/>
          <w:color w:val="auto"/>
          <w:szCs w:val="22"/>
        </w:rPr>
        <w:t>T</w:t>
      </w:r>
      <w:r w:rsidRPr="00B00460">
        <w:rPr>
          <w:rFonts w:cs="Arial"/>
          <w:color w:val="auto"/>
          <w:szCs w:val="22"/>
        </w:rPr>
        <w:t>ea en las facilidades de la industria de hidrocarburos en Colombia debe darse usando</w:t>
      </w:r>
      <w:r>
        <w:rPr>
          <w:rFonts w:cs="Arial"/>
          <w:color w:val="auto"/>
          <w:szCs w:val="22"/>
        </w:rPr>
        <w:t xml:space="preserve"> </w:t>
      </w:r>
      <w:r w:rsidRPr="00B00460">
        <w:rPr>
          <w:rFonts w:cs="Arial"/>
          <w:color w:val="auto"/>
          <w:szCs w:val="22"/>
        </w:rPr>
        <w:t xml:space="preserve">quemadores especialmente diseñados para la destrucción casi completa del gas, logrando valores altos de eficiencia de combustión y de DRE, disminuyendo de esta manera las emisiones de </w:t>
      </w:r>
      <w:r w:rsidRPr="00E757CA">
        <w:rPr>
          <w:rFonts w:cs="Arial"/>
          <w:color w:val="auto"/>
          <w:szCs w:val="22"/>
        </w:rPr>
        <w:t>G</w:t>
      </w:r>
      <w:r w:rsidR="00115184" w:rsidRPr="00CD7510">
        <w:rPr>
          <w:rFonts w:cs="Arial"/>
          <w:color w:val="auto"/>
          <w:szCs w:val="22"/>
        </w:rPr>
        <w:t xml:space="preserve">ases </w:t>
      </w:r>
      <w:r w:rsidRPr="00E757CA">
        <w:rPr>
          <w:rFonts w:cs="Arial"/>
          <w:color w:val="auto"/>
          <w:szCs w:val="22"/>
        </w:rPr>
        <w:t>E</w:t>
      </w:r>
      <w:r w:rsidR="00115184" w:rsidRPr="00CD7510">
        <w:rPr>
          <w:rFonts w:cs="Arial"/>
          <w:color w:val="auto"/>
          <w:szCs w:val="22"/>
        </w:rPr>
        <w:t xml:space="preserve">fecto </w:t>
      </w:r>
      <w:r w:rsidRPr="00E757CA">
        <w:rPr>
          <w:rFonts w:cs="Arial"/>
          <w:color w:val="auto"/>
          <w:szCs w:val="22"/>
        </w:rPr>
        <w:t>I</w:t>
      </w:r>
      <w:r w:rsidR="00115184" w:rsidRPr="00E757CA">
        <w:rPr>
          <w:rFonts w:cs="Arial"/>
          <w:color w:val="auto"/>
          <w:szCs w:val="22"/>
        </w:rPr>
        <w:t>n</w:t>
      </w:r>
      <w:r w:rsidR="00115184">
        <w:rPr>
          <w:rFonts w:cs="Arial"/>
          <w:color w:val="auto"/>
          <w:szCs w:val="22"/>
        </w:rPr>
        <w:t>vernadero</w:t>
      </w:r>
      <w:r w:rsidR="00D27C7B">
        <w:rPr>
          <w:rFonts w:cs="Arial"/>
          <w:color w:val="auto"/>
          <w:szCs w:val="22"/>
        </w:rPr>
        <w:t xml:space="preserve"> - GEI</w:t>
      </w:r>
      <w:r w:rsidRPr="00B00460">
        <w:rPr>
          <w:rFonts w:cs="Arial"/>
          <w:color w:val="auto"/>
          <w:szCs w:val="22"/>
        </w:rPr>
        <w:t xml:space="preserve"> a la atmósfera.  </w:t>
      </w:r>
    </w:p>
    <w:p w14:paraId="23AC77D3" w14:textId="77777777" w:rsidR="00B00460" w:rsidRDefault="00B00460" w:rsidP="003D7501">
      <w:pPr>
        <w:jc w:val="both"/>
      </w:pPr>
    </w:p>
    <w:p w14:paraId="7EEA9882" w14:textId="6FE46A73" w:rsidR="00247B44" w:rsidRDefault="00695289" w:rsidP="003D7501">
      <w:pPr>
        <w:jc w:val="both"/>
        <w:rPr>
          <w:rFonts w:cs="Arial"/>
          <w:color w:val="auto"/>
          <w:szCs w:val="22"/>
        </w:rPr>
      </w:pPr>
      <w:r>
        <w:rPr>
          <w:rFonts w:cs="Arial"/>
          <w:color w:val="auto"/>
          <w:szCs w:val="22"/>
        </w:rPr>
        <w:t xml:space="preserve">Con base en lo anterior, </w:t>
      </w:r>
      <w:r w:rsidR="00B00460" w:rsidRPr="00B00460">
        <w:rPr>
          <w:rFonts w:cs="Arial"/>
          <w:color w:val="auto"/>
          <w:szCs w:val="22"/>
        </w:rPr>
        <w:t xml:space="preserve">este documento </w:t>
      </w:r>
      <w:r>
        <w:rPr>
          <w:rFonts w:cs="Arial"/>
          <w:color w:val="auto"/>
          <w:szCs w:val="22"/>
        </w:rPr>
        <w:t>contiene</w:t>
      </w:r>
      <w:r w:rsidR="00B00460" w:rsidRPr="00B00460">
        <w:rPr>
          <w:rFonts w:cs="Arial"/>
          <w:color w:val="auto"/>
          <w:szCs w:val="22"/>
        </w:rPr>
        <w:t xml:space="preserve"> los lineamientos técnicos para la determinación de la eficiencia de combustión y </w:t>
      </w:r>
      <w:r w:rsidR="00B00460" w:rsidRPr="00695289">
        <w:rPr>
          <w:rFonts w:cs="Arial"/>
          <w:color w:val="auto"/>
          <w:szCs w:val="22"/>
        </w:rPr>
        <w:t>DRE</w:t>
      </w:r>
      <w:r w:rsidR="00B00460" w:rsidRPr="00B00460">
        <w:rPr>
          <w:rFonts w:cs="Arial"/>
          <w:color w:val="auto"/>
          <w:szCs w:val="22"/>
        </w:rPr>
        <w:t xml:space="preserve"> de las </w:t>
      </w:r>
      <w:r w:rsidR="00115184">
        <w:rPr>
          <w:rFonts w:cs="Arial"/>
          <w:color w:val="auto"/>
          <w:szCs w:val="22"/>
        </w:rPr>
        <w:t>T</w:t>
      </w:r>
      <w:r w:rsidR="00B00460" w:rsidRPr="00B00460">
        <w:rPr>
          <w:rFonts w:cs="Arial"/>
          <w:color w:val="auto"/>
          <w:szCs w:val="22"/>
        </w:rPr>
        <w:t>eas usadas en exploración y explotación de hidrocarburos en el territorio nacional</w:t>
      </w:r>
      <w:r w:rsidR="009C1BEB">
        <w:rPr>
          <w:rFonts w:cs="Arial"/>
          <w:color w:val="auto"/>
          <w:szCs w:val="22"/>
        </w:rPr>
        <w:t xml:space="preserve">. </w:t>
      </w:r>
      <w:r w:rsidR="00115184">
        <w:rPr>
          <w:rFonts w:cs="Arial"/>
          <w:color w:val="auto"/>
          <w:szCs w:val="22"/>
        </w:rPr>
        <w:t>Así mismo,</w:t>
      </w:r>
      <w:r w:rsidR="00B00460" w:rsidRPr="00B00460">
        <w:rPr>
          <w:rFonts w:cs="Arial"/>
          <w:color w:val="auto"/>
          <w:szCs w:val="22"/>
        </w:rPr>
        <w:t xml:space="preserve"> se </w:t>
      </w:r>
      <w:r w:rsidR="00115184">
        <w:rPr>
          <w:rFonts w:cs="Arial"/>
          <w:color w:val="auto"/>
          <w:szCs w:val="22"/>
        </w:rPr>
        <w:t>incluye</w:t>
      </w:r>
      <w:r w:rsidR="00115184" w:rsidRPr="00B00460">
        <w:rPr>
          <w:rFonts w:cs="Arial"/>
          <w:color w:val="auto"/>
          <w:szCs w:val="22"/>
        </w:rPr>
        <w:t xml:space="preserve"> </w:t>
      </w:r>
      <w:r w:rsidR="00B00460" w:rsidRPr="00B00460">
        <w:rPr>
          <w:rFonts w:cs="Arial"/>
          <w:color w:val="auto"/>
          <w:szCs w:val="22"/>
        </w:rPr>
        <w:t>la metodología</w:t>
      </w:r>
      <w:r w:rsidR="00B00460">
        <w:rPr>
          <w:rFonts w:cs="Arial"/>
          <w:color w:val="auto"/>
          <w:szCs w:val="22"/>
        </w:rPr>
        <w:t xml:space="preserve"> </w:t>
      </w:r>
      <w:r w:rsidR="00B00460" w:rsidRPr="00B00460">
        <w:rPr>
          <w:rFonts w:cs="Arial"/>
          <w:color w:val="auto"/>
          <w:szCs w:val="22"/>
        </w:rPr>
        <w:t>usada</w:t>
      </w:r>
      <w:r>
        <w:rPr>
          <w:rFonts w:cs="Arial"/>
          <w:color w:val="auto"/>
          <w:szCs w:val="22"/>
        </w:rPr>
        <w:t>,</w:t>
      </w:r>
      <w:r w:rsidR="00B00460" w:rsidRPr="00B00460">
        <w:rPr>
          <w:rFonts w:cs="Arial"/>
          <w:color w:val="auto"/>
          <w:szCs w:val="22"/>
        </w:rPr>
        <w:t xml:space="preserve"> para </w:t>
      </w:r>
      <w:r w:rsidR="003A7D83">
        <w:rPr>
          <w:rFonts w:cs="Arial"/>
          <w:color w:val="auto"/>
          <w:szCs w:val="22"/>
        </w:rPr>
        <w:t>que,</w:t>
      </w:r>
      <w:r>
        <w:rPr>
          <w:rFonts w:cs="Arial"/>
          <w:color w:val="auto"/>
          <w:szCs w:val="22"/>
        </w:rPr>
        <w:t xml:space="preserve"> </w:t>
      </w:r>
      <w:r w:rsidR="00B00460" w:rsidRPr="00B00460">
        <w:rPr>
          <w:rFonts w:cs="Arial"/>
          <w:color w:val="auto"/>
          <w:szCs w:val="22"/>
        </w:rPr>
        <w:t>a partir de estos datos</w:t>
      </w:r>
      <w:r>
        <w:rPr>
          <w:rFonts w:cs="Arial"/>
          <w:color w:val="auto"/>
          <w:szCs w:val="22"/>
        </w:rPr>
        <w:t>, se</w:t>
      </w:r>
      <w:r w:rsidR="00B00460" w:rsidRPr="00B00460">
        <w:rPr>
          <w:rFonts w:cs="Arial"/>
          <w:color w:val="auto"/>
          <w:szCs w:val="22"/>
        </w:rPr>
        <w:t xml:space="preserve"> estim</w:t>
      </w:r>
      <w:r>
        <w:rPr>
          <w:rFonts w:cs="Arial"/>
          <w:color w:val="auto"/>
          <w:szCs w:val="22"/>
        </w:rPr>
        <w:t>en</w:t>
      </w:r>
      <w:r w:rsidR="00B00460" w:rsidRPr="00B00460">
        <w:rPr>
          <w:rFonts w:cs="Arial"/>
          <w:color w:val="auto"/>
          <w:szCs w:val="22"/>
        </w:rPr>
        <w:t xml:space="preserve"> las emisiones de CO</w:t>
      </w:r>
      <w:r w:rsidR="00B00460" w:rsidRPr="00B00460">
        <w:rPr>
          <w:rFonts w:cs="Arial"/>
          <w:color w:val="auto"/>
          <w:szCs w:val="22"/>
          <w:vertAlign w:val="subscript"/>
        </w:rPr>
        <w:t>2</w:t>
      </w:r>
      <w:r w:rsidR="00B00460" w:rsidRPr="00B00460">
        <w:rPr>
          <w:rFonts w:cs="Arial"/>
          <w:color w:val="auto"/>
          <w:szCs w:val="22"/>
        </w:rPr>
        <w:t>, CH</w:t>
      </w:r>
      <w:r w:rsidR="00B00460" w:rsidRPr="00B00460">
        <w:rPr>
          <w:rFonts w:cs="Arial"/>
          <w:color w:val="auto"/>
          <w:szCs w:val="22"/>
          <w:vertAlign w:val="subscript"/>
        </w:rPr>
        <w:t>4</w:t>
      </w:r>
      <w:r w:rsidR="00B00460" w:rsidRPr="00B00460">
        <w:rPr>
          <w:rFonts w:cs="Arial"/>
          <w:color w:val="auto"/>
          <w:szCs w:val="22"/>
        </w:rPr>
        <w:t xml:space="preserve"> y N</w:t>
      </w:r>
      <w:r w:rsidR="00B00460" w:rsidRPr="00B00460">
        <w:rPr>
          <w:rFonts w:cs="Arial"/>
          <w:color w:val="auto"/>
          <w:szCs w:val="22"/>
          <w:vertAlign w:val="subscript"/>
        </w:rPr>
        <w:t>2</w:t>
      </w:r>
      <w:r w:rsidR="00B00460" w:rsidRPr="00B00460">
        <w:rPr>
          <w:rFonts w:cs="Arial"/>
          <w:color w:val="auto"/>
          <w:szCs w:val="22"/>
        </w:rPr>
        <w:t xml:space="preserve">O asociados </w:t>
      </w:r>
      <w:r>
        <w:rPr>
          <w:rFonts w:cs="Arial"/>
          <w:color w:val="auto"/>
          <w:szCs w:val="22"/>
        </w:rPr>
        <w:t>al</w:t>
      </w:r>
      <w:r w:rsidRPr="00B00460">
        <w:rPr>
          <w:rFonts w:cs="Arial"/>
          <w:color w:val="auto"/>
          <w:szCs w:val="22"/>
        </w:rPr>
        <w:t xml:space="preserve"> </w:t>
      </w:r>
      <w:r w:rsidR="00B00460" w:rsidRPr="00B00460">
        <w:rPr>
          <w:rFonts w:cs="Arial"/>
          <w:color w:val="auto"/>
          <w:szCs w:val="22"/>
        </w:rPr>
        <w:t xml:space="preserve">proceso de combustión. Finalmente, se </w:t>
      </w:r>
      <w:r w:rsidR="00115184">
        <w:rPr>
          <w:rFonts w:cs="Arial"/>
          <w:color w:val="auto"/>
          <w:szCs w:val="22"/>
        </w:rPr>
        <w:t>anexa</w:t>
      </w:r>
      <w:r w:rsidR="00115184" w:rsidRPr="00B00460">
        <w:rPr>
          <w:rFonts w:cs="Arial"/>
          <w:color w:val="auto"/>
          <w:szCs w:val="22"/>
        </w:rPr>
        <w:t xml:space="preserve"> </w:t>
      </w:r>
      <w:r w:rsidR="00B00460" w:rsidRPr="00B00460">
        <w:rPr>
          <w:rFonts w:cs="Arial"/>
          <w:color w:val="auto"/>
          <w:szCs w:val="22"/>
        </w:rPr>
        <w:t xml:space="preserve">el formato de recolección de datos de quema y lineamientos para la definición de eficiencia mínima para cada </w:t>
      </w:r>
      <w:r w:rsidR="00B00460">
        <w:rPr>
          <w:rFonts w:cs="Arial"/>
          <w:color w:val="auto"/>
          <w:szCs w:val="22"/>
        </w:rPr>
        <w:t>T</w:t>
      </w:r>
      <w:r w:rsidR="00B00460" w:rsidRPr="00B00460">
        <w:rPr>
          <w:rFonts w:cs="Arial"/>
          <w:color w:val="auto"/>
          <w:szCs w:val="22"/>
        </w:rPr>
        <w:t>ea.</w:t>
      </w:r>
    </w:p>
    <w:p w14:paraId="08E9A246" w14:textId="77777777" w:rsidR="00247B44" w:rsidRDefault="00247B44" w:rsidP="003D7501">
      <w:pPr>
        <w:jc w:val="both"/>
        <w:rPr>
          <w:rFonts w:cs="Arial"/>
          <w:color w:val="auto"/>
          <w:szCs w:val="22"/>
        </w:rPr>
      </w:pPr>
    </w:p>
    <w:p w14:paraId="20621E75" w14:textId="2677345A" w:rsidR="00247B44" w:rsidRPr="00474CD3" w:rsidRDefault="00247B44" w:rsidP="009F09B0">
      <w:pPr>
        <w:pStyle w:val="Ttulo1"/>
        <w:numPr>
          <w:ilvl w:val="0"/>
          <w:numId w:val="5"/>
        </w:numPr>
        <w:rPr>
          <w:rFonts w:cs="Arial"/>
        </w:rPr>
      </w:pPr>
      <w:bookmarkStart w:id="34" w:name="_Toc138340217"/>
      <w:bookmarkStart w:id="35" w:name="_Toc145672303"/>
      <w:r w:rsidRPr="00474CD3">
        <w:rPr>
          <w:rFonts w:cs="Arial"/>
        </w:rPr>
        <w:t>MISIONES GEI POR QUEMA EN TEA</w:t>
      </w:r>
      <w:bookmarkEnd w:id="34"/>
      <w:bookmarkEnd w:id="35"/>
    </w:p>
    <w:p w14:paraId="6F373F46" w14:textId="77777777" w:rsidR="00247B44" w:rsidRDefault="00247B44" w:rsidP="00BC55ED"/>
    <w:p w14:paraId="160D416A" w14:textId="1905C4F2" w:rsidR="00B00460" w:rsidRDefault="00B00460" w:rsidP="00B00460">
      <w:pPr>
        <w:jc w:val="both"/>
        <w:rPr>
          <w:rFonts w:eastAsia="Arial" w:cs="Arial"/>
        </w:rPr>
      </w:pPr>
      <w:r w:rsidRPr="00B00460">
        <w:rPr>
          <w:rFonts w:eastAsia="Arial" w:cs="Arial"/>
        </w:rPr>
        <w:t>Los Gases de Efecto Invernadero</w:t>
      </w:r>
      <w:r w:rsidR="00115184">
        <w:rPr>
          <w:rFonts w:eastAsia="Arial" w:cs="Arial"/>
        </w:rPr>
        <w:t xml:space="preserve"> -</w:t>
      </w:r>
      <w:r w:rsidR="008A3A4A">
        <w:rPr>
          <w:rFonts w:eastAsia="Arial" w:cs="Arial"/>
        </w:rPr>
        <w:t xml:space="preserve"> </w:t>
      </w:r>
      <w:r w:rsidRPr="00B00460">
        <w:rPr>
          <w:rFonts w:eastAsia="Arial" w:cs="Arial"/>
        </w:rPr>
        <w:t xml:space="preserve">GEI, son compuestos gaseosos que se encuentran en la atmósfera </w:t>
      </w:r>
      <w:r w:rsidR="00E757CA">
        <w:rPr>
          <w:rFonts w:eastAsia="Arial" w:cs="Arial"/>
        </w:rPr>
        <w:t>y</w:t>
      </w:r>
      <w:r w:rsidRPr="00B00460">
        <w:rPr>
          <w:rFonts w:eastAsia="Arial" w:cs="Arial"/>
        </w:rPr>
        <w:t xml:space="preserve"> provienen de forma natural o debido a la actividad humana. Se caracterizan principalmente por absorber y emitir radiación en determinadas longitudes de onda del espectro infrarrojo. Los principales GEI son el dióxido de carbono (CO</w:t>
      </w:r>
      <w:sdt>
        <w:sdtPr>
          <w:tag w:val="goog_rdk_165"/>
          <w:id w:val="-966114436"/>
        </w:sdtPr>
        <w:sdtEndPr/>
        <w:sdtContent>
          <w:r w:rsidRPr="00B00460">
            <w:rPr>
              <w:rFonts w:eastAsia="Arial" w:cs="Arial"/>
              <w:vertAlign w:val="subscript"/>
            </w:rPr>
            <w:t>2</w:t>
          </w:r>
        </w:sdtContent>
      </w:sdt>
      <w:r w:rsidRPr="00B00460">
        <w:rPr>
          <w:rFonts w:eastAsia="Arial" w:cs="Arial"/>
        </w:rPr>
        <w:t>), metano (CH</w:t>
      </w:r>
      <w:sdt>
        <w:sdtPr>
          <w:tag w:val="goog_rdk_166"/>
          <w:id w:val="905111563"/>
        </w:sdtPr>
        <w:sdtEndPr/>
        <w:sdtContent>
          <w:r w:rsidRPr="00B00460">
            <w:rPr>
              <w:rFonts w:eastAsia="Arial" w:cs="Arial"/>
              <w:vertAlign w:val="subscript"/>
            </w:rPr>
            <w:t>4</w:t>
          </w:r>
        </w:sdtContent>
      </w:sdt>
      <w:r w:rsidRPr="00B00460">
        <w:rPr>
          <w:rFonts w:eastAsia="Arial" w:cs="Arial"/>
        </w:rPr>
        <w:t>), el óxido nitroso (N</w:t>
      </w:r>
      <w:sdt>
        <w:sdtPr>
          <w:tag w:val="goog_rdk_167"/>
          <w:id w:val="1799794267"/>
        </w:sdtPr>
        <w:sdtEndPr/>
        <w:sdtContent>
          <w:r w:rsidRPr="00B00460">
            <w:rPr>
              <w:rFonts w:eastAsia="Arial" w:cs="Arial"/>
              <w:vertAlign w:val="subscript"/>
            </w:rPr>
            <w:t>2</w:t>
          </w:r>
        </w:sdtContent>
      </w:sdt>
      <w:r w:rsidRPr="00B00460">
        <w:rPr>
          <w:rFonts w:eastAsia="Arial" w:cs="Arial"/>
        </w:rPr>
        <w:t>O), el ozono (O</w:t>
      </w:r>
      <w:sdt>
        <w:sdtPr>
          <w:tag w:val="goog_rdk_168"/>
          <w:id w:val="971169247"/>
        </w:sdtPr>
        <w:sdtEndPr/>
        <w:sdtContent>
          <w:r w:rsidRPr="00B00460">
            <w:rPr>
              <w:rFonts w:eastAsia="Arial" w:cs="Arial"/>
              <w:vertAlign w:val="subscript"/>
            </w:rPr>
            <w:t>3</w:t>
          </w:r>
        </w:sdtContent>
      </w:sdt>
      <w:r w:rsidRPr="00B00460">
        <w:rPr>
          <w:rFonts w:eastAsia="Arial" w:cs="Arial"/>
        </w:rPr>
        <w:t>), entre otros</w:t>
      </w:r>
      <w:sdt>
        <w:sdtPr>
          <w:rPr>
            <w:rFonts w:eastAsia="Arial" w:cs="Arial"/>
          </w:rPr>
          <w:tag w:val="MENDELEY_CITATION_v3_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"/>
          <w:id w:val="823478928"/>
          <w:placeholder>
            <w:docPart w:val="DefaultPlaceholder_-1854013440"/>
          </w:placeholder>
        </w:sdtPr>
        <w:sdtEndPr/>
        <w:sdtContent>
          <w:r w:rsidR="00A44BAA" w:rsidRPr="00A44BAA">
            <w:rPr>
              <w:rFonts w:eastAsia="Arial" w:cs="Arial"/>
            </w:rPr>
            <w:t>[3]</w:t>
          </w:r>
        </w:sdtContent>
      </w:sdt>
      <w:r w:rsidRPr="00B00460">
        <w:rPr>
          <w:rFonts w:eastAsia="Arial" w:cs="Arial"/>
        </w:rPr>
        <w:t>. Por su efecto y su tiempo de permanencia en la atmósfera</w:t>
      </w:r>
      <w:r w:rsidR="008E6076">
        <w:rPr>
          <w:rFonts w:eastAsia="Arial" w:cs="Arial"/>
        </w:rPr>
        <w:t>,</w:t>
      </w:r>
      <w:r w:rsidRPr="00B00460">
        <w:rPr>
          <w:rFonts w:eastAsia="Arial" w:cs="Arial"/>
        </w:rPr>
        <w:t xml:space="preserve"> este tipo de gases tiene un alto impacto en la temperatura terrestre, de modo que sus emisiones ejercen una fuerte influencia en el clima a mediano y largo plazo</w:t>
      </w:r>
      <w:r w:rsidR="008E6076">
        <w:rPr>
          <w:rFonts w:eastAsia="Arial" w:cs="Arial"/>
        </w:rPr>
        <w:t>,</w:t>
      </w:r>
      <w:r w:rsidRPr="00B00460">
        <w:rPr>
          <w:rFonts w:eastAsia="Arial" w:cs="Arial"/>
        </w:rPr>
        <w:t xml:space="preserve"> de ahí la importancia de conocer la cantidad de GEI que se está</w:t>
      </w:r>
      <w:r w:rsidR="00B85173">
        <w:rPr>
          <w:rFonts w:eastAsia="Arial" w:cs="Arial"/>
        </w:rPr>
        <w:t>n</w:t>
      </w:r>
      <w:r w:rsidRPr="00B00460">
        <w:rPr>
          <w:rFonts w:eastAsia="Arial" w:cs="Arial"/>
        </w:rPr>
        <w:t xml:space="preserve"> emitiendo a la atmósfera asociad</w:t>
      </w:r>
      <w:r w:rsidR="008E6076">
        <w:rPr>
          <w:rFonts w:eastAsia="Arial" w:cs="Arial"/>
        </w:rPr>
        <w:t>a</w:t>
      </w:r>
      <w:r w:rsidRPr="00B00460">
        <w:rPr>
          <w:rFonts w:eastAsia="Arial" w:cs="Arial"/>
        </w:rPr>
        <w:t xml:space="preserve"> a los procesos a la combustión en </w:t>
      </w:r>
      <w:r w:rsidR="001C569F">
        <w:rPr>
          <w:rFonts w:eastAsia="Arial" w:cs="Arial"/>
        </w:rPr>
        <w:t>T</w:t>
      </w:r>
      <w:r w:rsidRPr="00B00460">
        <w:rPr>
          <w:rFonts w:eastAsia="Arial" w:cs="Arial"/>
        </w:rPr>
        <w:t>ea</w:t>
      </w:r>
      <w:r w:rsidR="001C569F">
        <w:rPr>
          <w:rFonts w:eastAsia="Arial" w:cs="Arial"/>
        </w:rPr>
        <w:t xml:space="preserve"> </w:t>
      </w:r>
      <w:sdt>
        <w:sdtPr>
          <w:rPr>
            <w:rFonts w:eastAsia="Arial" w:cs="Arial"/>
          </w:rPr>
          <w:tag w:val="MENDELEY_CITATION_v3_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"/>
          <w:id w:val="1344285508"/>
          <w:placeholder>
            <w:docPart w:val="DefaultPlaceholder_-1854013440"/>
          </w:placeholder>
        </w:sdtPr>
        <w:sdtEndPr/>
        <w:sdtContent>
          <w:r w:rsidR="00A44BAA" w:rsidRPr="00A44BAA">
            <w:rPr>
              <w:rFonts w:eastAsia="Arial" w:cs="Arial"/>
            </w:rPr>
            <w:t>[4]</w:t>
          </w:r>
        </w:sdtContent>
      </w:sdt>
      <w:r>
        <w:rPr>
          <w:rFonts w:eastAsia="Arial" w:cs="Arial"/>
        </w:rPr>
        <w:t>.</w:t>
      </w:r>
    </w:p>
    <w:p w14:paraId="643F5CA7" w14:textId="77777777" w:rsidR="00247B44" w:rsidRDefault="00247B44" w:rsidP="00BC55ED">
      <w:pPr>
        <w:jc w:val="both"/>
        <w:rPr>
          <w:rFonts w:cs="Arial"/>
          <w:color w:val="auto"/>
          <w:szCs w:val="22"/>
        </w:rPr>
      </w:pPr>
    </w:p>
    <w:p w14:paraId="7C6D0F04" w14:textId="63E04924" w:rsidR="008A3A4A" w:rsidRPr="008A3A4A" w:rsidRDefault="008A3A4A" w:rsidP="008A3A4A">
      <w:pPr>
        <w:spacing w:line="257" w:lineRule="auto"/>
        <w:jc w:val="both"/>
        <w:rPr>
          <w:rFonts w:eastAsia="Arial" w:cs="Arial"/>
        </w:rPr>
      </w:pPr>
      <w:r w:rsidRPr="008A3A4A">
        <w:rPr>
          <w:rFonts w:eastAsia="Arial" w:cs="Arial"/>
        </w:rPr>
        <w:t>La quema de gas natural en Tea se encuentra relacionada con la reacción de combustión de hidrocarburos, esta reacción se caracteriza porque una sustancia (combustible) en este caso el gas natural</w:t>
      </w:r>
      <w:r w:rsidR="008E6076">
        <w:rPr>
          <w:rFonts w:eastAsia="Arial" w:cs="Arial"/>
        </w:rPr>
        <w:t>,</w:t>
      </w:r>
      <w:r w:rsidRPr="008A3A4A">
        <w:rPr>
          <w:rFonts w:eastAsia="Arial" w:cs="Arial"/>
        </w:rPr>
        <w:t xml:space="preserve"> reacciona con oxígeno (comburente) para producir principalmente el CO</w:t>
      </w:r>
      <w:r w:rsidRPr="008A3A4A">
        <w:rPr>
          <w:rFonts w:eastAsia="Arial" w:cs="Arial"/>
          <w:vertAlign w:val="subscript"/>
        </w:rPr>
        <w:t>2</w:t>
      </w:r>
      <w:r w:rsidRPr="008A3A4A">
        <w:rPr>
          <w:rFonts w:eastAsia="Arial" w:cs="Arial"/>
        </w:rPr>
        <w:t>, agua y energía liberada en forma de calor y luz por tratarse de una reacción exotérmica.  La ecuación 1 relaciona el comportamiento entre productos y reactivos en la reacción de combustión completa de hidrocarburos:</w:t>
      </w:r>
    </w:p>
    <w:p w14:paraId="1ACF8B94" w14:textId="77777777" w:rsidR="00247B44" w:rsidRDefault="00247B44" w:rsidP="00BC55ED">
      <w:pPr>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404"/>
      </w:tblGrid>
      <w:tr w:rsidR="00247B44" w14:paraId="72077A04" w14:textId="77777777" w:rsidTr="00406319">
        <w:trPr>
          <w:trHeight w:val="490"/>
        </w:trPr>
        <w:tc>
          <w:tcPr>
            <w:tcW w:w="7987" w:type="dxa"/>
            <w:vAlign w:val="center"/>
          </w:tcPr>
          <w:p w14:paraId="272A7A2C" w14:textId="712C1874" w:rsidR="00247B44" w:rsidRPr="00B27F7A" w:rsidRDefault="00AB45E0" w:rsidP="005A7122">
            <w:pPr>
              <w:jc w:val="center"/>
              <w:rPr>
                <w:rFonts w:cs="Arial"/>
              </w:rPr>
            </w:pPr>
            <m:oMathPara>
              <m:oMath>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sSub>
                  <m:sSubPr>
                    <m:ctrlPr>
                      <w:rPr>
                        <w:rFonts w:ascii="Cambria Math" w:hAnsi="Cambria Math" w:cs="Arial"/>
                        <w:i/>
                      </w:rPr>
                    </m:ctrlPr>
                  </m:sSubPr>
                  <m:e>
                    <m:r>
                      <w:rPr>
                        <w:rFonts w:ascii="Cambria Math" w:hAnsi="Cambria Math" w:cs="Arial"/>
                      </w:rPr>
                      <m:t>H</m:t>
                    </m:r>
                  </m:e>
                  <m:sub>
                    <m:r>
                      <w:rPr>
                        <w:rFonts w:ascii="Cambria Math" w:hAnsi="Cambria Math" w:cs="Arial"/>
                      </w:rPr>
                      <m:t>m</m:t>
                    </m:r>
                  </m:sub>
                </m:sSub>
                <m:r>
                  <w:rPr>
                    <w:rFonts w:ascii="Cambria Math" w:hAnsi="Cambria Math" w:cs="Arial"/>
                  </w:rPr>
                  <m:t>+</m:t>
                </m:r>
                <m:d>
                  <m:dPr>
                    <m:ctrlPr>
                      <w:rPr>
                        <w:rFonts w:ascii="Cambria Math" w:hAnsi="Cambria Math" w:cs="Arial"/>
                        <w:i/>
                      </w:rPr>
                    </m:ctrlPr>
                  </m:dPr>
                  <m:e>
                    <m:r>
                      <w:rPr>
                        <w:rFonts w:ascii="Cambria Math" w:hAnsi="Cambria Math" w:cs="Arial"/>
                      </w:rPr>
                      <m:t>n+</m:t>
                    </m:r>
                    <m:f>
                      <m:fPr>
                        <m:ctrlPr>
                          <w:rPr>
                            <w:rFonts w:ascii="Cambria Math" w:hAnsi="Cambria Math" w:cs="Arial"/>
                            <w:i/>
                          </w:rPr>
                        </m:ctrlPr>
                      </m:fPr>
                      <m:num>
                        <m:r>
                          <w:rPr>
                            <w:rFonts w:ascii="Cambria Math" w:hAnsi="Cambria Math" w:cs="Arial"/>
                          </w:rPr>
                          <m:t>m</m:t>
                        </m:r>
                      </m:num>
                      <m:den>
                        <m:r>
                          <w:rPr>
                            <w:rFonts w:ascii="Cambria Math" w:hAnsi="Cambria Math" w:cs="Arial"/>
                          </w:rPr>
                          <m:t>4</m:t>
                        </m:r>
                      </m:den>
                    </m:f>
                  </m:e>
                </m:d>
                <m:sSub>
                  <m:sSubPr>
                    <m:ctrlPr>
                      <w:rPr>
                        <w:rFonts w:ascii="Cambria Math" w:hAnsi="Cambria Math" w:cs="Arial"/>
                        <w:i/>
                      </w:rPr>
                    </m:ctrlPr>
                  </m:sSubPr>
                  <m:e>
                    <m:r>
                      <w:rPr>
                        <w:rFonts w:ascii="Cambria Math" w:hAnsi="Cambria Math" w:cs="Arial"/>
                      </w:rPr>
                      <m:t>O</m:t>
                    </m:r>
                  </m:e>
                  <m:sub>
                    <m:r>
                      <w:rPr>
                        <w:rFonts w:ascii="Cambria Math" w:hAnsi="Cambria Math" w:cs="Arial"/>
                      </w:rPr>
                      <m:t>2</m:t>
                    </m:r>
                  </m:sub>
                </m:sSub>
                <m:r>
                  <w:rPr>
                    <w:rFonts w:ascii="Cambria Math" w:hAnsi="Cambria Math" w:cs="Arial"/>
                  </w:rPr>
                  <m:t xml:space="preserve">  →  nC</m:t>
                </m:r>
                <m:sSub>
                  <m:sSubPr>
                    <m:ctrlPr>
                      <w:rPr>
                        <w:rFonts w:ascii="Cambria Math" w:hAnsi="Cambria Math" w:cs="Arial"/>
                        <w:i/>
                      </w:rPr>
                    </m:ctrlPr>
                  </m:sSubPr>
                  <m:e>
                    <m:r>
                      <w:rPr>
                        <w:rFonts w:ascii="Cambria Math" w:hAnsi="Cambria Math" w:cs="Arial"/>
                      </w:rPr>
                      <m:t>O</m:t>
                    </m:r>
                  </m:e>
                  <m:sub>
                    <m:r>
                      <w:rPr>
                        <w:rFonts w:ascii="Cambria Math" w:hAnsi="Cambria Math" w:cs="Arial"/>
                      </w:rPr>
                      <m:t>2</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m</m:t>
                    </m:r>
                  </m:num>
                  <m:den>
                    <m:r>
                      <w:rPr>
                        <w:rFonts w:ascii="Cambria Math" w:hAnsi="Cambria Math" w:cs="Arial"/>
                      </w:rPr>
                      <m:t>2</m:t>
                    </m:r>
                  </m:den>
                </m:f>
                <m:r>
                  <w:rPr>
                    <w:rFonts w:ascii="Cambria Math" w:hAnsi="Cambria Math" w:cs="Arial"/>
                  </w:rPr>
                  <m:t xml:space="preserve"> </m:t>
                </m:r>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O+E</m:t>
                </m:r>
              </m:oMath>
            </m:oMathPara>
          </w:p>
        </w:tc>
        <w:tc>
          <w:tcPr>
            <w:tcW w:w="1404" w:type="dxa"/>
            <w:vAlign w:val="center"/>
          </w:tcPr>
          <w:p w14:paraId="239DA674" w14:textId="77777777" w:rsidR="00247B44" w:rsidRPr="00F519DA" w:rsidRDefault="00247B44" w:rsidP="00406319">
            <w:pPr>
              <w:jc w:val="right"/>
              <w:rPr>
                <w:b/>
                <w:bCs/>
                <w:sz w:val="20"/>
              </w:rPr>
            </w:pPr>
            <w:r w:rsidRPr="00F519DA">
              <w:rPr>
                <w:rFonts w:cs="Arial"/>
                <w:b/>
                <w:bCs/>
                <w:sz w:val="20"/>
              </w:rPr>
              <w:t xml:space="preserve">Ecuación </w:t>
            </w:r>
            <w:r w:rsidRPr="00F519DA">
              <w:rPr>
                <w:b/>
                <w:bCs/>
                <w:sz w:val="20"/>
              </w:rPr>
              <w:t>1</w:t>
            </w:r>
          </w:p>
        </w:tc>
      </w:tr>
    </w:tbl>
    <w:p w14:paraId="23E0EF67" w14:textId="77777777" w:rsidR="00247B44" w:rsidRDefault="00247B44" w:rsidP="00F519DA">
      <w:pPr>
        <w:jc w:val="both"/>
        <w:rPr>
          <w:rFonts w:cs="Arial"/>
          <w:color w:val="auto"/>
          <w:szCs w:val="22"/>
        </w:rPr>
      </w:pPr>
    </w:p>
    <w:p w14:paraId="7D56F81B" w14:textId="222B644B" w:rsidR="00B27F7A" w:rsidRDefault="00B27F7A" w:rsidP="00B27F7A">
      <w:pPr>
        <w:jc w:val="both"/>
        <w:rPr>
          <w:rFonts w:eastAsia="Arial" w:cs="Arial"/>
        </w:rPr>
      </w:pPr>
      <w:r>
        <w:rPr>
          <w:rFonts w:cs="Arial"/>
          <w:color w:val="auto"/>
          <w:szCs w:val="22"/>
        </w:rPr>
        <w:t>Debido a las altas temperaturas alcanzadas por la reacción y la presencia de nitrógeno en el aire, se espera como subproducto la generación de N</w:t>
      </w:r>
      <w:r w:rsidRPr="00B27F7A">
        <w:rPr>
          <w:rFonts w:cs="Arial"/>
          <w:color w:val="auto"/>
          <w:szCs w:val="22"/>
          <w:vertAlign w:val="subscript"/>
        </w:rPr>
        <w:t>2</w:t>
      </w:r>
      <w:r>
        <w:rPr>
          <w:rFonts w:cs="Arial"/>
          <w:color w:val="auto"/>
          <w:szCs w:val="22"/>
        </w:rPr>
        <w:t xml:space="preserve">O. </w:t>
      </w:r>
      <w:r w:rsidRPr="00B27F7A">
        <w:rPr>
          <w:rFonts w:eastAsia="Arial" w:cs="Arial"/>
        </w:rPr>
        <w:t>Es importante resaltar que debido a factores operacionales y de composición del gas, la combustión del gas natural en Tea no posee eficiencia (CE o DRE) del 100%, lo que conlleva a una reacción incompleta donde cierta cantidad de componentes del gas natural serán liberados a la atmósfera. De estos componentes el de mayor interés es el metano (CH</w:t>
      </w:r>
      <w:sdt>
        <w:sdtPr>
          <w:tag w:val="goog_rdk_186"/>
          <w:id w:val="1797949938"/>
        </w:sdtPr>
        <w:sdtEndPr/>
        <w:sdtContent>
          <w:r w:rsidRPr="00B27F7A">
            <w:rPr>
              <w:rFonts w:eastAsia="Arial" w:cs="Arial"/>
              <w:vertAlign w:val="subscript"/>
            </w:rPr>
            <w:t>4</w:t>
          </w:r>
        </w:sdtContent>
      </w:sdt>
      <w:r w:rsidRPr="00B27F7A">
        <w:rPr>
          <w:rFonts w:eastAsia="Arial" w:cs="Arial"/>
        </w:rPr>
        <w:t>) porque debido a su estabilidad química, es uno de los gases que a pesar de tener un periodo menor de permanencia en la atmósfera absorbe mucha más energía en comparación al CO</w:t>
      </w:r>
      <w:sdt>
        <w:sdtPr>
          <w:tag w:val="goog_rdk_187"/>
          <w:id w:val="1484499842"/>
        </w:sdtPr>
        <w:sdtEndPr/>
        <w:sdtContent>
          <w:r w:rsidRPr="00B27F7A">
            <w:rPr>
              <w:rFonts w:eastAsia="Arial" w:cs="Arial"/>
              <w:vertAlign w:val="subscript"/>
            </w:rPr>
            <w:t>2</w:t>
          </w:r>
        </w:sdtContent>
      </w:sdt>
      <w:r w:rsidRPr="00B27F7A">
        <w:rPr>
          <w:rFonts w:eastAsia="Arial" w:cs="Arial"/>
        </w:rPr>
        <w:t xml:space="preserve">. </w:t>
      </w:r>
    </w:p>
    <w:p w14:paraId="267C4DFC" w14:textId="77777777" w:rsidR="00247B44" w:rsidRDefault="00247B44" w:rsidP="00F519DA">
      <w:pPr>
        <w:jc w:val="both"/>
        <w:rPr>
          <w:rFonts w:cs="Arial"/>
          <w:color w:val="auto"/>
          <w:szCs w:val="22"/>
        </w:rPr>
      </w:pPr>
    </w:p>
    <w:p w14:paraId="09C887EE" w14:textId="7A8EE49D" w:rsidR="00247B44" w:rsidRDefault="00F93033" w:rsidP="00F519DA">
      <w:pPr>
        <w:jc w:val="both"/>
        <w:rPr>
          <w:rFonts w:cs="Arial"/>
          <w:color w:val="auto"/>
          <w:szCs w:val="22"/>
        </w:rPr>
      </w:pPr>
      <w:r w:rsidRPr="00F93033">
        <w:rPr>
          <w:rFonts w:cs="Arial"/>
          <w:color w:val="auto"/>
          <w:szCs w:val="22"/>
        </w:rPr>
        <w:t xml:space="preserve">Para la estimación de las emisiones GEI </w:t>
      </w:r>
      <w:r w:rsidR="00CD7510">
        <w:rPr>
          <w:rFonts w:cs="Arial"/>
          <w:color w:val="auto"/>
          <w:szCs w:val="22"/>
        </w:rPr>
        <w:t>asociadas</w:t>
      </w:r>
      <w:r w:rsidR="00CD7510" w:rsidRPr="00F93033">
        <w:rPr>
          <w:rFonts w:cs="Arial"/>
          <w:color w:val="auto"/>
          <w:szCs w:val="22"/>
        </w:rPr>
        <w:t xml:space="preserve"> </w:t>
      </w:r>
      <w:r w:rsidRPr="00F93033">
        <w:rPr>
          <w:rFonts w:cs="Arial"/>
          <w:color w:val="auto"/>
          <w:szCs w:val="22"/>
        </w:rPr>
        <w:t xml:space="preserve">a la quema de </w:t>
      </w:r>
      <w:r w:rsidR="00CD7510" w:rsidRPr="00CD7510">
        <w:rPr>
          <w:rFonts w:cs="Arial"/>
          <w:color w:val="auto"/>
          <w:szCs w:val="22"/>
        </w:rPr>
        <w:t>g</w:t>
      </w:r>
      <w:r w:rsidRPr="00CD7510">
        <w:rPr>
          <w:rFonts w:cs="Arial"/>
          <w:color w:val="auto"/>
          <w:szCs w:val="22"/>
        </w:rPr>
        <w:t xml:space="preserve">as </w:t>
      </w:r>
      <w:r w:rsidRPr="00340CA7">
        <w:rPr>
          <w:rFonts w:cs="Arial"/>
          <w:color w:val="auto"/>
          <w:szCs w:val="22"/>
        </w:rPr>
        <w:t xml:space="preserve">natural </w:t>
      </w:r>
      <w:r w:rsidRPr="00F93033">
        <w:rPr>
          <w:rFonts w:cs="Arial"/>
          <w:color w:val="auto"/>
          <w:szCs w:val="22"/>
        </w:rPr>
        <w:t>se utiliza el método descrito en el capítulo 5</w:t>
      </w:r>
      <w:r>
        <w:rPr>
          <w:rFonts w:cs="Arial"/>
          <w:color w:val="auto"/>
          <w:szCs w:val="22"/>
        </w:rPr>
        <w:t xml:space="preserve"> </w:t>
      </w:r>
      <w:r w:rsidRPr="00F93033">
        <w:rPr>
          <w:rFonts w:cs="Arial"/>
          <w:color w:val="auto"/>
          <w:szCs w:val="22"/>
        </w:rPr>
        <w:t xml:space="preserve">del compendio API 2021 </w:t>
      </w:r>
      <w:sdt>
        <w:sdtPr>
          <w:rPr>
            <w:rFonts w:cs="Arial"/>
            <w:szCs w:val="22"/>
          </w:rPr>
          <w:tag w:val="MENDELEY_CITATION_v3_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"/>
          <w:id w:val="1806957930"/>
          <w:placeholder>
            <w:docPart w:val="DefaultPlaceholder_-1854013440"/>
          </w:placeholder>
        </w:sdtPr>
        <w:sdtEndPr/>
        <w:sdtContent>
          <w:r w:rsidR="00A44BAA" w:rsidRPr="00A44BAA">
            <w:rPr>
              <w:rFonts w:cs="Arial"/>
              <w:szCs w:val="22"/>
            </w:rPr>
            <w:t>[5]</w:t>
          </w:r>
        </w:sdtContent>
      </w:sdt>
      <w:r w:rsidRPr="00F93033">
        <w:rPr>
          <w:rFonts w:cs="Arial"/>
          <w:color w:val="auto"/>
          <w:szCs w:val="22"/>
        </w:rPr>
        <w:t>. Las ecuaciones propuestas corresponden a</w:t>
      </w:r>
      <w:r w:rsidR="003D6714">
        <w:rPr>
          <w:rFonts w:cs="Arial"/>
          <w:color w:val="auto"/>
          <w:szCs w:val="22"/>
        </w:rPr>
        <w:t>l</w:t>
      </w:r>
      <w:r w:rsidRPr="00F93033">
        <w:rPr>
          <w:rFonts w:cs="Arial"/>
          <w:color w:val="auto"/>
          <w:szCs w:val="22"/>
        </w:rPr>
        <w:t xml:space="preserve"> balance de masa de la reacción de combustión en la Tea donde también se tiene</w:t>
      </w:r>
      <w:r w:rsidR="003D6714">
        <w:rPr>
          <w:rFonts w:cs="Arial"/>
          <w:color w:val="auto"/>
          <w:szCs w:val="22"/>
        </w:rPr>
        <w:t>n</w:t>
      </w:r>
      <w:r w:rsidRPr="00F93033">
        <w:rPr>
          <w:rFonts w:cs="Arial"/>
          <w:color w:val="auto"/>
          <w:szCs w:val="22"/>
        </w:rPr>
        <w:t xml:space="preserve"> en cuenta las ineficiencias</w:t>
      </w:r>
      <w:r w:rsidR="00AD707F">
        <w:rPr>
          <w:rFonts w:cs="Arial"/>
          <w:color w:val="auto"/>
          <w:szCs w:val="22"/>
        </w:rPr>
        <w:t>.</w:t>
      </w:r>
      <w:r w:rsidRPr="00F93033">
        <w:rPr>
          <w:rFonts w:cs="Arial"/>
          <w:color w:val="auto"/>
          <w:szCs w:val="22"/>
        </w:rPr>
        <w:t xml:space="preserve"> </w:t>
      </w:r>
      <w:r w:rsidR="00AD707F">
        <w:rPr>
          <w:rFonts w:cs="Arial"/>
          <w:color w:val="auto"/>
          <w:szCs w:val="22"/>
        </w:rPr>
        <w:t>El</w:t>
      </w:r>
      <w:r w:rsidRPr="00F93033">
        <w:rPr>
          <w:rFonts w:cs="Arial"/>
          <w:color w:val="auto"/>
          <w:szCs w:val="22"/>
        </w:rPr>
        <w:t xml:space="preserve"> ANEXO </w:t>
      </w:r>
      <w:r w:rsidR="000959C6">
        <w:rPr>
          <w:rFonts w:cs="Arial"/>
          <w:color w:val="auto"/>
          <w:szCs w:val="22"/>
        </w:rPr>
        <w:t>A</w:t>
      </w:r>
      <w:r w:rsidRPr="00F93033">
        <w:rPr>
          <w:rFonts w:cs="Arial"/>
          <w:color w:val="auto"/>
          <w:szCs w:val="22"/>
        </w:rPr>
        <w:t xml:space="preserve"> presenta un ejemplo de cálculo para dicha estimación</w:t>
      </w:r>
      <w:r w:rsidR="004762BE">
        <w:rPr>
          <w:rFonts w:cs="Arial"/>
          <w:color w:val="auto"/>
          <w:szCs w:val="22"/>
        </w:rPr>
        <w:t>, así:</w:t>
      </w:r>
    </w:p>
    <w:p w14:paraId="4BC9713F" w14:textId="0A0A56E8" w:rsidR="005A7122" w:rsidRDefault="005A7122" w:rsidP="00F519DA">
      <w:pPr>
        <w:jc w:val="both"/>
        <w:rPr>
          <w:rFonts w:cs="Arial"/>
          <w:color w:val="auto"/>
          <w:szCs w:val="22"/>
        </w:rPr>
      </w:pPr>
    </w:p>
    <w:p w14:paraId="49B4ADAA" w14:textId="7EF0D000" w:rsidR="005A7122" w:rsidRDefault="005A7122" w:rsidP="00F519DA">
      <w:pPr>
        <w:jc w:val="both"/>
        <w:rPr>
          <w:rFonts w:cs="Arial"/>
          <w:color w:val="auto"/>
          <w:szCs w:val="22"/>
        </w:rPr>
      </w:pPr>
      <w:bookmarkStart w:id="36" w:name="_Hlk147091238"/>
      <w:r w:rsidRPr="005A7122">
        <w:rPr>
          <w:rFonts w:cs="Arial"/>
          <w:color w:val="auto"/>
          <w:szCs w:val="22"/>
        </w:rPr>
        <w:t>Las emisiones de CO</w:t>
      </w:r>
      <w:r w:rsidRPr="005A7122">
        <w:rPr>
          <w:rFonts w:cs="Arial"/>
          <w:color w:val="auto"/>
          <w:szCs w:val="22"/>
          <w:vertAlign w:val="subscript"/>
        </w:rPr>
        <w:t>2</w:t>
      </w:r>
      <w:r w:rsidRPr="005A7122">
        <w:rPr>
          <w:rFonts w:cs="Arial"/>
          <w:color w:val="auto"/>
          <w:szCs w:val="22"/>
        </w:rPr>
        <w:t xml:space="preserve"> </w:t>
      </w:r>
      <w:bookmarkEnd w:id="36"/>
      <w:r w:rsidRPr="005A7122">
        <w:rPr>
          <w:rFonts w:cs="Arial"/>
          <w:color w:val="auto"/>
          <w:szCs w:val="22"/>
        </w:rPr>
        <w:t>se estiman de acuerdo con la siguiente ecuación:</w:t>
      </w:r>
    </w:p>
    <w:p w14:paraId="6D135E98" w14:textId="77777777" w:rsidR="00247B44" w:rsidRDefault="00247B44" w:rsidP="00F519DA">
      <w:pPr>
        <w:jc w:val="both"/>
        <w:rPr>
          <w:rFonts w:cs="Arial"/>
          <w:color w:val="auto"/>
          <w:szCs w:val="22"/>
        </w:rPr>
      </w:pPr>
    </w:p>
    <w:p w14:paraId="1B20E2B5" w14:textId="77777777" w:rsidR="00247B44" w:rsidRDefault="00247B44" w:rsidP="00F519DA">
      <w:pPr>
        <w:jc w:val="both"/>
        <w:rPr>
          <w:rFonts w:cs="Arial"/>
          <w:color w:val="auto"/>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404"/>
      </w:tblGrid>
      <w:tr w:rsidR="005A7122" w14:paraId="334F28A2" w14:textId="77777777" w:rsidTr="001F5326">
        <w:trPr>
          <w:trHeight w:val="490"/>
        </w:trPr>
        <w:tc>
          <w:tcPr>
            <w:tcW w:w="7987" w:type="dxa"/>
            <w:vAlign w:val="center"/>
          </w:tcPr>
          <w:p w14:paraId="60864A62" w14:textId="2836ECFC" w:rsidR="005A7122" w:rsidRPr="00B27F7A" w:rsidRDefault="00AB45E0" w:rsidP="001F5326">
            <w:pPr>
              <w:jc w:val="center"/>
              <w:rPr>
                <w:rFonts w:cs="Arial"/>
              </w:rPr>
            </w:pPr>
            <m:oMathPara>
              <m:oMath>
                <m:sSub>
                  <m:sSubPr>
                    <m:ctrlPr>
                      <w:rPr>
                        <w:rFonts w:ascii="Cambria Math" w:hAnsi="Cambria Math" w:cs="Arial"/>
                        <w:i/>
                        <w:szCs w:val="22"/>
                      </w:rPr>
                    </m:ctrlPr>
                  </m:sSubPr>
                  <m:e>
                    <m:r>
                      <w:rPr>
                        <w:rFonts w:ascii="Cambria Math" w:hAnsi="Cambria Math" w:cs="Arial"/>
                        <w:szCs w:val="22"/>
                      </w:rPr>
                      <m:t>E</m:t>
                    </m:r>
                  </m:e>
                  <m:sub>
                    <m:sSub>
                      <m:sSubPr>
                        <m:ctrlPr>
                          <w:rPr>
                            <w:rFonts w:ascii="Cambria Math" w:hAnsi="Cambria Math" w:cs="Arial"/>
                            <w:i/>
                            <w:szCs w:val="22"/>
                          </w:rPr>
                        </m:ctrlPr>
                      </m:sSubPr>
                      <m:e>
                        <m:r>
                          <w:rPr>
                            <w:rFonts w:ascii="Cambria Math" w:hAnsi="Cambria Math" w:cs="Arial"/>
                            <w:szCs w:val="22"/>
                          </w:rPr>
                          <m:t>CO</m:t>
                        </m:r>
                      </m:e>
                      <m:sub>
                        <m:r>
                          <w:rPr>
                            <w:rFonts w:ascii="Cambria Math" w:hAnsi="Cambria Math" w:cs="Arial"/>
                            <w:szCs w:val="22"/>
                          </w:rPr>
                          <m:t>2</m:t>
                        </m:r>
                      </m:sub>
                    </m:sSub>
                  </m:sub>
                </m:sSub>
                <m:r>
                  <w:rPr>
                    <w:rFonts w:ascii="Cambria Math" w:hAnsi="Cambria Math" w:cs="Arial"/>
                    <w:szCs w:val="22"/>
                  </w:rPr>
                  <m:t>=Volumen quemado</m:t>
                </m:r>
                <m:d>
                  <m:dPr>
                    <m:ctrlPr>
                      <w:rPr>
                        <w:rFonts w:ascii="Cambria Math" w:hAnsi="Cambria Math" w:cs="Arial"/>
                        <w:i/>
                        <w:szCs w:val="22"/>
                      </w:rPr>
                    </m:ctrlPr>
                  </m:dPr>
                  <m:e>
                    <m:f>
                      <m:fPr>
                        <m:ctrlPr>
                          <w:rPr>
                            <w:rFonts w:ascii="Cambria Math" w:hAnsi="Cambria Math" w:cs="Arial"/>
                            <w:i/>
                            <w:szCs w:val="22"/>
                          </w:rPr>
                        </m:ctrlPr>
                      </m:fPr>
                      <m:num>
                        <m:r>
                          <w:rPr>
                            <w:rFonts w:ascii="Cambria Math" w:hAnsi="Cambria Math" w:cs="Arial"/>
                            <w:szCs w:val="22"/>
                          </w:rPr>
                          <m:t>1</m:t>
                        </m:r>
                      </m:num>
                      <m:den>
                        <m:r>
                          <w:rPr>
                            <w:rFonts w:ascii="Cambria Math" w:hAnsi="Cambria Math" w:cs="Arial"/>
                            <w:szCs w:val="22"/>
                          </w:rPr>
                          <m:t xml:space="preserve"> Cvolumen molar </m:t>
                        </m:r>
                      </m:den>
                    </m:f>
                  </m:e>
                </m:d>
                <m:sSub>
                  <m:sSubPr>
                    <m:ctrlPr>
                      <w:rPr>
                        <w:rFonts w:ascii="Cambria Math" w:hAnsi="Cambria Math" w:cs="Arial"/>
                        <w:i/>
                        <w:szCs w:val="22"/>
                      </w:rPr>
                    </m:ctrlPr>
                  </m:sSubPr>
                  <m:e>
                    <m:r>
                      <w:rPr>
                        <w:rFonts w:ascii="Cambria Math" w:hAnsi="Cambria Math" w:cs="Arial"/>
                        <w:szCs w:val="22"/>
                      </w:rPr>
                      <m:t>*MWCO</m:t>
                    </m:r>
                  </m:e>
                  <m:sub>
                    <m:r>
                      <w:rPr>
                        <w:rFonts w:ascii="Cambria Math" w:hAnsi="Cambria Math" w:cs="Arial"/>
                        <w:szCs w:val="22"/>
                      </w:rPr>
                      <m:t>2</m:t>
                    </m:r>
                  </m:sub>
                </m:sSub>
                <m:r>
                  <w:rPr>
                    <w:rFonts w:ascii="Cambria Math" w:hAnsi="Cambria Math" w:cs="Arial"/>
                    <w:szCs w:val="22"/>
                  </w:rPr>
                  <m:t xml:space="preserve">*Cmasa*  </m:t>
                </m:r>
                <m:d>
                  <m:dPr>
                    <m:begChr m:val="["/>
                    <m:endChr m:val="]"/>
                    <m:ctrlPr>
                      <w:rPr>
                        <w:rFonts w:ascii="Cambria Math" w:hAnsi="Cambria Math" w:cs="Arial"/>
                        <w:i/>
                        <w:szCs w:val="22"/>
                      </w:rPr>
                    </m:ctrlPr>
                  </m:dPr>
                  <m:e>
                    <m:nary>
                      <m:naryPr>
                        <m:chr m:val="∑"/>
                        <m:limLoc m:val="undOvr"/>
                        <m:subHide m:val="1"/>
                        <m:supHide m:val="1"/>
                        <m:ctrlPr>
                          <w:rPr>
                            <w:rFonts w:ascii="Cambria Math" w:hAnsi="Cambria Math" w:cs="Arial"/>
                            <w:i/>
                            <w:szCs w:val="22"/>
                          </w:rPr>
                        </m:ctrlPr>
                      </m:naryPr>
                      <m:sub/>
                      <m:sup/>
                      <m:e>
                        <m:d>
                          <m:dPr>
                            <m:ctrlPr>
                              <w:rPr>
                                <w:rFonts w:ascii="Cambria Math" w:hAnsi="Cambria Math" w:cs="Arial"/>
                                <w:i/>
                                <w:szCs w:val="22"/>
                              </w:rPr>
                            </m:ctrlPr>
                          </m:dPr>
                          <m:e>
                            <m:f>
                              <m:fPr>
                                <m:ctrlPr>
                                  <w:rPr>
                                    <w:rFonts w:ascii="Cambria Math" w:hAnsi="Cambria Math" w:cs="Arial"/>
                                    <w:i/>
                                    <w:szCs w:val="22"/>
                                  </w:rPr>
                                </m:ctrlPr>
                              </m:fPr>
                              <m:num>
                                <m:r>
                                  <w:rPr>
                                    <w:rFonts w:ascii="Cambria Math" w:hAnsi="Cambria Math" w:cs="Arial"/>
                                    <w:szCs w:val="22"/>
                                  </w:rPr>
                                  <m:t>moles hidrocarburos</m:t>
                                </m:r>
                              </m:num>
                              <m:den>
                                <m:r>
                                  <w:rPr>
                                    <w:rFonts w:ascii="Cambria Math" w:hAnsi="Cambria Math" w:cs="Arial"/>
                                    <w:szCs w:val="22"/>
                                  </w:rPr>
                                  <m:t>moles de gas</m:t>
                                </m:r>
                              </m:den>
                            </m:f>
                            <m:r>
                              <w:rPr>
                                <w:rFonts w:ascii="Cambria Math" w:hAnsi="Cambria Math" w:cs="Arial"/>
                                <w:szCs w:val="22"/>
                              </w:rPr>
                              <m:t xml:space="preserve">* </m:t>
                            </m:r>
                            <m:f>
                              <m:fPr>
                                <m:ctrlPr>
                                  <w:rPr>
                                    <w:rFonts w:ascii="Cambria Math" w:hAnsi="Cambria Math" w:cs="Arial"/>
                                    <w:i/>
                                    <w:szCs w:val="22"/>
                                  </w:rPr>
                                </m:ctrlPr>
                              </m:fPr>
                              <m:num>
                                <m:r>
                                  <w:rPr>
                                    <w:rFonts w:ascii="Cambria Math" w:hAnsi="Cambria Math" w:cs="Arial"/>
                                    <w:szCs w:val="22"/>
                                  </w:rPr>
                                  <m:t>A moles de C</m:t>
                                </m:r>
                              </m:num>
                              <m:den>
                                <m:r>
                                  <w:rPr>
                                    <w:rFonts w:ascii="Cambria Math" w:hAnsi="Cambria Math" w:cs="Arial"/>
                                    <w:szCs w:val="22"/>
                                  </w:rPr>
                                  <m:t>moles de gas</m:t>
                                </m:r>
                              </m:den>
                            </m:f>
                            <m:r>
                              <w:rPr>
                                <w:rFonts w:ascii="Cambria Math" w:hAnsi="Cambria Math" w:cs="Arial"/>
                                <w:szCs w:val="22"/>
                              </w:rPr>
                              <m:t xml:space="preserve">* </m:t>
                            </m:r>
                            <m:f>
                              <m:fPr>
                                <m:ctrlPr>
                                  <w:rPr>
                                    <w:rFonts w:ascii="Cambria Math" w:hAnsi="Cambria Math" w:cs="Arial"/>
                                    <w:i/>
                                    <w:szCs w:val="22"/>
                                  </w:rPr>
                                </m:ctrlPr>
                              </m:fPr>
                              <m:num>
                                <m:r>
                                  <w:rPr>
                                    <w:rFonts w:ascii="Cambria Math" w:hAnsi="Cambria Math" w:cs="Arial"/>
                                    <w:szCs w:val="22"/>
                                  </w:rPr>
                                  <m:t xml:space="preserve">Eficiencia de formación </m:t>
                                </m:r>
                                <m:sSub>
                                  <m:sSubPr>
                                    <m:ctrlPr>
                                      <w:rPr>
                                        <w:rFonts w:ascii="Cambria Math" w:hAnsi="Cambria Math" w:cs="Arial"/>
                                        <w:i/>
                                        <w:szCs w:val="22"/>
                                      </w:rPr>
                                    </m:ctrlPr>
                                  </m:sSubPr>
                                  <m:e>
                                    <m:r>
                                      <w:rPr>
                                        <w:rFonts w:ascii="Cambria Math" w:hAnsi="Cambria Math" w:cs="Arial"/>
                                        <w:szCs w:val="22"/>
                                      </w:rPr>
                                      <m:t>CO</m:t>
                                    </m:r>
                                  </m:e>
                                  <m:sub>
                                    <m:r>
                                      <w:rPr>
                                        <w:rFonts w:ascii="Cambria Math" w:hAnsi="Cambria Math" w:cs="Arial"/>
                                        <w:szCs w:val="22"/>
                                      </w:rPr>
                                      <m:t>2</m:t>
                                    </m:r>
                                  </m:sub>
                                </m:sSub>
                              </m:num>
                              <m:den>
                                <m:r>
                                  <w:rPr>
                                    <w:rFonts w:ascii="Cambria Math" w:hAnsi="Cambria Math" w:cs="Arial"/>
                                    <w:szCs w:val="22"/>
                                  </w:rPr>
                                  <m:t>moles de C que hicieron combustión</m:t>
                                </m:r>
                              </m:den>
                            </m:f>
                          </m:e>
                        </m:d>
                        <m:r>
                          <w:rPr>
                            <w:rFonts w:ascii="Cambria Math" w:hAnsi="Cambria Math" w:cs="Arial"/>
                            <w:szCs w:val="22"/>
                          </w:rPr>
                          <m:t xml:space="preserve">+ </m:t>
                        </m:r>
                        <m:f>
                          <m:fPr>
                            <m:ctrlPr>
                              <w:rPr>
                                <w:rFonts w:ascii="Cambria Math" w:hAnsi="Cambria Math" w:cs="Arial"/>
                                <w:i/>
                                <w:szCs w:val="22"/>
                              </w:rPr>
                            </m:ctrlPr>
                          </m:fPr>
                          <m:num>
                            <m:r>
                              <w:rPr>
                                <w:rFonts w:ascii="Cambria Math" w:hAnsi="Cambria Math" w:cs="Arial"/>
                                <w:szCs w:val="22"/>
                              </w:rPr>
                              <m:t xml:space="preserve">B moles de </m:t>
                            </m:r>
                            <m:sSub>
                              <m:sSubPr>
                                <m:ctrlPr>
                                  <w:rPr>
                                    <w:rFonts w:ascii="Cambria Math" w:hAnsi="Cambria Math" w:cs="Arial"/>
                                    <w:i/>
                                    <w:szCs w:val="22"/>
                                  </w:rPr>
                                </m:ctrlPr>
                              </m:sSubPr>
                              <m:e>
                                <m:r>
                                  <w:rPr>
                                    <w:rFonts w:ascii="Cambria Math" w:hAnsi="Cambria Math" w:cs="Arial"/>
                                    <w:szCs w:val="22"/>
                                  </w:rPr>
                                  <m:t>CO</m:t>
                                </m:r>
                              </m:e>
                              <m:sub>
                                <m:r>
                                  <w:rPr>
                                    <w:rFonts w:ascii="Cambria Math" w:hAnsi="Cambria Math" w:cs="Arial"/>
                                    <w:szCs w:val="22"/>
                                  </w:rPr>
                                  <m:t>2</m:t>
                                </m:r>
                              </m:sub>
                            </m:sSub>
                          </m:num>
                          <m:den>
                            <m:r>
                              <w:rPr>
                                <w:rFonts w:ascii="Cambria Math" w:hAnsi="Cambria Math" w:cs="Arial"/>
                                <w:szCs w:val="22"/>
                              </w:rPr>
                              <m:t>moles de gas</m:t>
                            </m:r>
                          </m:den>
                        </m:f>
                      </m:e>
                    </m:nary>
                  </m:e>
                </m:d>
              </m:oMath>
            </m:oMathPara>
          </w:p>
        </w:tc>
        <w:tc>
          <w:tcPr>
            <w:tcW w:w="1404" w:type="dxa"/>
            <w:vAlign w:val="center"/>
          </w:tcPr>
          <w:p w14:paraId="1AE08B5D" w14:textId="07A01330" w:rsidR="005A7122" w:rsidRPr="00F519DA" w:rsidRDefault="005A7122" w:rsidP="001F5326">
            <w:pPr>
              <w:jc w:val="right"/>
              <w:rPr>
                <w:b/>
                <w:bCs/>
                <w:sz w:val="20"/>
              </w:rPr>
            </w:pPr>
            <w:r w:rsidRPr="00F519DA">
              <w:rPr>
                <w:rFonts w:cs="Arial"/>
                <w:b/>
                <w:bCs/>
                <w:sz w:val="20"/>
              </w:rPr>
              <w:t xml:space="preserve">Ecuación </w:t>
            </w:r>
            <w:r>
              <w:rPr>
                <w:rFonts w:cs="Arial"/>
                <w:b/>
                <w:bCs/>
                <w:sz w:val="20"/>
              </w:rPr>
              <w:t>2</w:t>
            </w:r>
          </w:p>
        </w:tc>
      </w:tr>
    </w:tbl>
    <w:p w14:paraId="57A60C66" w14:textId="77777777" w:rsidR="00247B44" w:rsidRDefault="00247B44" w:rsidP="00F519DA">
      <w:pPr>
        <w:jc w:val="both"/>
        <w:rPr>
          <w:rFonts w:cs="Arial"/>
          <w:color w:val="auto"/>
          <w:szCs w:val="22"/>
        </w:rPr>
      </w:pPr>
    </w:p>
    <w:p w14:paraId="18368C4F" w14:textId="77777777" w:rsidR="00247B44" w:rsidRDefault="00247B44" w:rsidP="00F519DA">
      <w:pPr>
        <w:jc w:val="both"/>
        <w:rPr>
          <w:rFonts w:cs="Arial"/>
          <w:color w:val="auto"/>
          <w:szCs w:val="22"/>
        </w:rPr>
      </w:pPr>
    </w:p>
    <w:p w14:paraId="7FB171B6" w14:textId="664DDD2C" w:rsidR="00247B44" w:rsidRDefault="00CA05EE" w:rsidP="00F519DA">
      <w:pPr>
        <w:jc w:val="both"/>
        <w:rPr>
          <w:rFonts w:cs="Arial"/>
          <w:color w:val="auto"/>
          <w:szCs w:val="22"/>
        </w:rPr>
      </w:pPr>
      <w:r>
        <w:rPr>
          <w:rFonts w:cs="Arial"/>
          <w:color w:val="auto"/>
          <w:szCs w:val="22"/>
        </w:rPr>
        <w:t xml:space="preserve">Donde: </w:t>
      </w:r>
    </w:p>
    <w:p w14:paraId="065CDCAC" w14:textId="05BD494B" w:rsidR="00602BD3" w:rsidRDefault="00602BD3" w:rsidP="00F519DA">
      <w:pPr>
        <w:jc w:val="both"/>
        <w:rPr>
          <w:rFonts w:cs="Arial"/>
          <w:color w:val="auto"/>
          <w:sz w:val="20"/>
          <w:szCs w:val="22"/>
        </w:rPr>
      </w:pPr>
      <w:r>
        <w:rPr>
          <w:rFonts w:cs="Arial"/>
          <w:color w:val="auto"/>
          <w:sz w:val="20"/>
          <w:szCs w:val="22"/>
        </w:rPr>
        <w:t>Volumen quemado = Volumen quemado en la Tea;</w:t>
      </w:r>
    </w:p>
    <w:p w14:paraId="542AD3B3" w14:textId="22BF70AA" w:rsidR="00CA05EE" w:rsidRPr="00CA05EE" w:rsidRDefault="00CA05EE" w:rsidP="00F519DA">
      <w:pPr>
        <w:jc w:val="both"/>
        <w:rPr>
          <w:rFonts w:cs="Arial"/>
          <w:color w:val="auto"/>
          <w:sz w:val="20"/>
          <w:szCs w:val="22"/>
        </w:rPr>
      </w:pPr>
      <w:proofErr w:type="spellStart"/>
      <w:r w:rsidRPr="00CA05EE">
        <w:rPr>
          <w:rFonts w:cs="Arial"/>
          <w:color w:val="auto"/>
          <w:sz w:val="20"/>
          <w:szCs w:val="22"/>
        </w:rPr>
        <w:t>Cvolumen</w:t>
      </w:r>
      <w:proofErr w:type="spellEnd"/>
      <w:r w:rsidRPr="00CA05EE">
        <w:rPr>
          <w:rFonts w:cs="Arial"/>
          <w:color w:val="auto"/>
          <w:sz w:val="20"/>
          <w:szCs w:val="22"/>
        </w:rPr>
        <w:t xml:space="preserve"> molar = Conversión </w:t>
      </w:r>
      <w:r w:rsidR="00602BD3">
        <w:rPr>
          <w:rFonts w:cs="Arial"/>
          <w:color w:val="auto"/>
          <w:sz w:val="20"/>
          <w:szCs w:val="22"/>
        </w:rPr>
        <w:t xml:space="preserve">de volumen </w:t>
      </w:r>
      <w:r w:rsidRPr="00CA05EE">
        <w:rPr>
          <w:rFonts w:cs="Arial"/>
          <w:color w:val="auto"/>
          <w:sz w:val="20"/>
          <w:szCs w:val="22"/>
        </w:rPr>
        <w:t>molar a masa (379.3 SCF/lb-mol o 23.685 sm</w:t>
      </w:r>
      <w:r w:rsidRPr="00CA05EE">
        <w:rPr>
          <w:rFonts w:cs="Arial"/>
          <w:color w:val="auto"/>
          <w:sz w:val="20"/>
          <w:szCs w:val="22"/>
          <w:vertAlign w:val="superscript"/>
        </w:rPr>
        <w:t>3</w:t>
      </w:r>
      <w:r w:rsidRPr="00CA05EE">
        <w:rPr>
          <w:rFonts w:cs="Arial"/>
          <w:color w:val="auto"/>
          <w:sz w:val="20"/>
          <w:szCs w:val="22"/>
        </w:rPr>
        <w:t>/Kg-mol)</w:t>
      </w:r>
      <w:r>
        <w:rPr>
          <w:rFonts w:cs="Arial"/>
          <w:color w:val="auto"/>
          <w:sz w:val="20"/>
          <w:szCs w:val="22"/>
        </w:rPr>
        <w:t>;</w:t>
      </w:r>
    </w:p>
    <w:p w14:paraId="1C72914D" w14:textId="61BA74F5" w:rsidR="00CA05EE" w:rsidRDefault="00CA05EE" w:rsidP="00F519DA">
      <w:pPr>
        <w:jc w:val="both"/>
        <w:rPr>
          <w:rFonts w:cs="Arial"/>
          <w:color w:val="auto"/>
          <w:sz w:val="20"/>
          <w:szCs w:val="22"/>
        </w:rPr>
      </w:pPr>
      <w:r w:rsidRPr="00CA05EE">
        <w:rPr>
          <w:rFonts w:cs="Arial"/>
          <w:color w:val="auto"/>
          <w:sz w:val="20"/>
          <w:szCs w:val="22"/>
        </w:rPr>
        <w:t>MWCO</w:t>
      </w:r>
      <w:r w:rsidRPr="00CA05EE">
        <w:rPr>
          <w:rFonts w:cs="Arial"/>
          <w:color w:val="auto"/>
          <w:sz w:val="20"/>
          <w:szCs w:val="22"/>
          <w:vertAlign w:val="subscript"/>
        </w:rPr>
        <w:t>2</w:t>
      </w:r>
      <w:r>
        <w:rPr>
          <w:rFonts w:cs="Arial"/>
          <w:color w:val="auto"/>
          <w:sz w:val="20"/>
          <w:szCs w:val="22"/>
          <w:vertAlign w:val="subscript"/>
        </w:rPr>
        <w:t xml:space="preserve"> </w:t>
      </w:r>
      <w:r>
        <w:rPr>
          <w:rFonts w:cs="Arial"/>
          <w:color w:val="auto"/>
          <w:sz w:val="20"/>
          <w:szCs w:val="22"/>
        </w:rPr>
        <w:t>= Peso molecular del CO</w:t>
      </w:r>
      <w:r w:rsidRPr="00CA05EE">
        <w:rPr>
          <w:rFonts w:cs="Arial"/>
          <w:color w:val="auto"/>
          <w:sz w:val="20"/>
          <w:szCs w:val="22"/>
          <w:vertAlign w:val="subscript"/>
        </w:rPr>
        <w:t>2</w:t>
      </w:r>
      <w:r>
        <w:rPr>
          <w:rFonts w:cs="Arial"/>
          <w:color w:val="auto"/>
          <w:sz w:val="20"/>
          <w:szCs w:val="22"/>
        </w:rPr>
        <w:t>, 44;</w:t>
      </w:r>
    </w:p>
    <w:p w14:paraId="4925C6C0" w14:textId="3272EA72" w:rsidR="00F65F6F" w:rsidRDefault="005655EE" w:rsidP="00F519DA">
      <w:pPr>
        <w:jc w:val="both"/>
        <w:rPr>
          <w:rFonts w:cs="Arial"/>
          <w:color w:val="auto"/>
          <w:sz w:val="20"/>
          <w:szCs w:val="22"/>
        </w:rPr>
      </w:pPr>
      <w:proofErr w:type="spellStart"/>
      <w:r>
        <w:rPr>
          <w:rFonts w:cs="Arial"/>
          <w:color w:val="auto"/>
          <w:sz w:val="20"/>
          <w:szCs w:val="22"/>
        </w:rPr>
        <w:t>Cmasa</w:t>
      </w:r>
      <w:proofErr w:type="spellEnd"/>
      <w:r>
        <w:rPr>
          <w:rFonts w:cs="Arial"/>
          <w:color w:val="auto"/>
          <w:sz w:val="20"/>
          <w:szCs w:val="22"/>
        </w:rPr>
        <w:t xml:space="preserve"> = toneladas/2204.62lb o tonelada/1000Kg;</w:t>
      </w:r>
    </w:p>
    <w:p w14:paraId="7D98E663" w14:textId="3B45C4FD" w:rsidR="005655EE" w:rsidRDefault="005655EE" w:rsidP="00F519DA">
      <w:pPr>
        <w:jc w:val="both"/>
        <w:rPr>
          <w:rFonts w:cs="Arial"/>
          <w:color w:val="auto"/>
          <w:sz w:val="20"/>
          <w:szCs w:val="22"/>
        </w:rPr>
      </w:pPr>
      <w:r>
        <w:rPr>
          <w:rFonts w:cs="Arial"/>
          <w:color w:val="auto"/>
          <w:sz w:val="20"/>
          <w:szCs w:val="22"/>
        </w:rPr>
        <w:t>A = Número de moles de carbono para el hidrocarburo en particular;</w:t>
      </w:r>
    </w:p>
    <w:p w14:paraId="7EA2E144" w14:textId="0BC3701F" w:rsidR="005655EE" w:rsidRDefault="005655EE" w:rsidP="00F519DA">
      <w:pPr>
        <w:jc w:val="both"/>
        <w:rPr>
          <w:rFonts w:cs="Arial"/>
          <w:color w:val="auto"/>
          <w:sz w:val="20"/>
          <w:szCs w:val="22"/>
        </w:rPr>
      </w:pPr>
      <w:r>
        <w:rPr>
          <w:rFonts w:cs="Arial"/>
          <w:color w:val="auto"/>
          <w:sz w:val="20"/>
          <w:szCs w:val="22"/>
        </w:rPr>
        <w:t>B = Moles de CO</w:t>
      </w:r>
      <w:r w:rsidRPr="005655EE">
        <w:rPr>
          <w:rFonts w:cs="Arial"/>
          <w:color w:val="auto"/>
          <w:sz w:val="20"/>
          <w:szCs w:val="22"/>
          <w:vertAlign w:val="subscript"/>
        </w:rPr>
        <w:t>2</w:t>
      </w:r>
      <w:r>
        <w:rPr>
          <w:rFonts w:cs="Arial"/>
          <w:color w:val="auto"/>
          <w:sz w:val="20"/>
          <w:szCs w:val="22"/>
        </w:rPr>
        <w:t xml:space="preserve"> presentes en la corriente quemada</w:t>
      </w:r>
      <w:r w:rsidR="00261160">
        <w:rPr>
          <w:rFonts w:cs="Arial"/>
          <w:color w:val="auto"/>
          <w:sz w:val="20"/>
          <w:szCs w:val="22"/>
        </w:rPr>
        <w:t>;</w:t>
      </w:r>
    </w:p>
    <w:p w14:paraId="63B1031E" w14:textId="3FAC302F" w:rsidR="00261160" w:rsidRPr="00CA05EE" w:rsidRDefault="00261160" w:rsidP="00F519DA">
      <w:pPr>
        <w:jc w:val="both"/>
        <w:rPr>
          <w:rFonts w:cs="Arial"/>
          <w:color w:val="auto"/>
          <w:sz w:val="20"/>
          <w:szCs w:val="22"/>
        </w:rPr>
      </w:pPr>
      <w:r>
        <w:rPr>
          <w:rFonts w:cs="Arial"/>
          <w:color w:val="auto"/>
          <w:sz w:val="20"/>
          <w:szCs w:val="22"/>
        </w:rPr>
        <w:t>Eficiencia de formación CO</w:t>
      </w:r>
      <w:r w:rsidRPr="00DB0E89">
        <w:rPr>
          <w:rFonts w:cs="Arial"/>
          <w:color w:val="auto"/>
          <w:sz w:val="20"/>
          <w:szCs w:val="22"/>
          <w:vertAlign w:val="subscript"/>
        </w:rPr>
        <w:t>2</w:t>
      </w:r>
      <w:r>
        <w:rPr>
          <w:rFonts w:cs="Arial"/>
          <w:color w:val="auto"/>
          <w:sz w:val="20"/>
          <w:szCs w:val="22"/>
        </w:rPr>
        <w:t xml:space="preserve"> = Eficiencia de Combustión, CE.</w:t>
      </w:r>
    </w:p>
    <w:p w14:paraId="55644A1A" w14:textId="77777777" w:rsidR="00247B44" w:rsidRDefault="00247B44" w:rsidP="00F519DA">
      <w:pPr>
        <w:jc w:val="both"/>
        <w:rPr>
          <w:rFonts w:cs="Arial"/>
          <w:color w:val="auto"/>
          <w:szCs w:val="22"/>
        </w:rPr>
      </w:pPr>
    </w:p>
    <w:p w14:paraId="037BB25F" w14:textId="35F6A93E" w:rsidR="00247B44" w:rsidRDefault="005655EE" w:rsidP="00F519DA">
      <w:pPr>
        <w:jc w:val="both"/>
        <w:rPr>
          <w:rFonts w:cs="Arial"/>
          <w:color w:val="auto"/>
          <w:szCs w:val="22"/>
        </w:rPr>
      </w:pPr>
      <w:r>
        <w:rPr>
          <w:rFonts w:cs="Arial"/>
          <w:color w:val="auto"/>
          <w:szCs w:val="22"/>
        </w:rPr>
        <w:t>Las emisiones de CH</w:t>
      </w:r>
      <w:r w:rsidRPr="00261160">
        <w:rPr>
          <w:rFonts w:cs="Arial"/>
          <w:color w:val="auto"/>
          <w:szCs w:val="22"/>
          <w:vertAlign w:val="subscript"/>
        </w:rPr>
        <w:t>4</w:t>
      </w:r>
      <w:r>
        <w:rPr>
          <w:rFonts w:cs="Arial"/>
          <w:color w:val="auto"/>
          <w:szCs w:val="22"/>
        </w:rPr>
        <w:t xml:space="preserve"> se estiman a partir de la siguiente ecuación: </w:t>
      </w:r>
    </w:p>
    <w:p w14:paraId="52C788FD" w14:textId="4BDF271A" w:rsidR="00261160" w:rsidRDefault="00261160" w:rsidP="00F519DA">
      <w:pPr>
        <w:jc w:val="both"/>
        <w:rPr>
          <w:rFonts w:cs="Arial"/>
          <w:color w:val="auto"/>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404"/>
      </w:tblGrid>
      <w:tr w:rsidR="00261160" w14:paraId="52398CD0" w14:textId="77777777" w:rsidTr="001F5326">
        <w:trPr>
          <w:trHeight w:val="490"/>
        </w:trPr>
        <w:tc>
          <w:tcPr>
            <w:tcW w:w="7987" w:type="dxa"/>
            <w:vAlign w:val="center"/>
          </w:tcPr>
          <w:p w14:paraId="72D441A1" w14:textId="70700F7F" w:rsidR="00261160" w:rsidRPr="00B27F7A" w:rsidRDefault="00AB45E0" w:rsidP="001F5326">
            <w:pPr>
              <w:jc w:val="center"/>
              <w:rPr>
                <w:rFonts w:cs="Arial"/>
              </w:rPr>
            </w:pPr>
            <m:oMathPara>
              <m:oMath>
                <m:sSub>
                  <m:sSubPr>
                    <m:ctrlPr>
                      <w:rPr>
                        <w:rFonts w:ascii="Cambria Math" w:hAnsi="Cambria Math" w:cs="Arial"/>
                        <w:i/>
                      </w:rPr>
                    </m:ctrlPr>
                  </m:sSubPr>
                  <m:e>
                    <m:r>
                      <w:rPr>
                        <w:rFonts w:ascii="Cambria Math" w:hAnsi="Cambria Math" w:cs="Arial"/>
                      </w:rPr>
                      <m:t>E</m:t>
                    </m:r>
                  </m:e>
                  <m:sub>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sub>
                </m:sSub>
                <m:r>
                  <w:rPr>
                    <w:rFonts w:ascii="Cambria Math" w:hAnsi="Cambria Math" w:cs="Arial"/>
                  </w:rPr>
                  <m:t>=Volumen quemado*</m:t>
                </m:r>
                <m:sSub>
                  <m:sSubPr>
                    <m:ctrlPr>
                      <w:rPr>
                        <w:rFonts w:ascii="Cambria Math" w:hAnsi="Cambria Math" w:cs="Arial"/>
                        <w:i/>
                      </w:rPr>
                    </m:ctrlPr>
                  </m:sSubPr>
                  <m:e>
                    <m:r>
                      <w:rPr>
                        <w:rFonts w:ascii="Cambria Math" w:hAnsi="Cambria Math" w:cs="Arial"/>
                      </w:rPr>
                      <m:t>X</m:t>
                    </m:r>
                  </m:e>
                  <m:sub>
                    <m:r>
                      <w:rPr>
                        <w:rFonts w:ascii="Cambria Math" w:hAnsi="Cambria Math" w:cs="Arial"/>
                      </w:rPr>
                      <m:t>C</m:t>
                    </m:r>
                    <m:sSub>
                      <m:sSubPr>
                        <m:ctrlPr>
                          <w:rPr>
                            <w:rFonts w:ascii="Cambria Math" w:hAnsi="Cambria Math" w:cs="Arial"/>
                            <w:i/>
                          </w:rPr>
                        </m:ctrlPr>
                      </m:sSubPr>
                      <m:e>
                        <m:r>
                          <w:rPr>
                            <w:rFonts w:ascii="Cambria Math" w:hAnsi="Cambria Math" w:cs="Arial"/>
                          </w:rPr>
                          <m:t>H</m:t>
                        </m:r>
                      </m:e>
                      <m:sub>
                        <m:r>
                          <w:rPr>
                            <w:rFonts w:ascii="Cambria Math" w:hAnsi="Cambria Math" w:cs="Arial"/>
                          </w:rPr>
                          <m:t>4</m:t>
                        </m:r>
                      </m:sub>
                    </m:sSub>
                  </m:sub>
                </m:sSub>
                <m:r>
                  <w:rPr>
                    <w:rFonts w:ascii="Cambria Math" w:hAnsi="Cambria Math" w:cs="Arial"/>
                  </w:rPr>
                  <m:t>*% C</m:t>
                </m:r>
                <m:sSub>
                  <m:sSubPr>
                    <m:ctrlPr>
                      <w:rPr>
                        <w:rFonts w:ascii="Cambria Math" w:hAnsi="Cambria Math" w:cs="Arial"/>
                        <w:i/>
                      </w:rPr>
                    </m:ctrlPr>
                  </m:sSubPr>
                  <m:e>
                    <m:r>
                      <w:rPr>
                        <w:rFonts w:ascii="Cambria Math" w:hAnsi="Cambria Math" w:cs="Arial"/>
                      </w:rPr>
                      <m:t>H</m:t>
                    </m:r>
                  </m:e>
                  <m:sub>
                    <m:r>
                      <w:rPr>
                        <w:rFonts w:ascii="Cambria Math" w:hAnsi="Cambria Math" w:cs="Arial"/>
                      </w:rPr>
                      <m:t>4</m:t>
                    </m:r>
                  </m:sub>
                </m:sSub>
                <m:r>
                  <w:rPr>
                    <w:rFonts w:ascii="Cambria Math" w:hAnsi="Cambria Math" w:cs="Arial"/>
                  </w:rPr>
                  <m:t xml:space="preserve">residual* </m:t>
                </m:r>
                <m:f>
                  <m:fPr>
                    <m:ctrlPr>
                      <w:rPr>
                        <w:rFonts w:ascii="Cambria Math" w:hAnsi="Cambria Math" w:cs="Arial"/>
                        <w:i/>
                      </w:rPr>
                    </m:ctrlPr>
                  </m:fPr>
                  <m:num>
                    <m:r>
                      <w:rPr>
                        <w:rFonts w:ascii="Cambria Math" w:hAnsi="Cambria Math" w:cs="Arial"/>
                      </w:rPr>
                      <m:t>1</m:t>
                    </m:r>
                  </m:num>
                  <m:den>
                    <m:r>
                      <w:rPr>
                        <w:rFonts w:ascii="Cambria Math" w:hAnsi="Cambria Math" w:cs="Arial"/>
                      </w:rPr>
                      <m:t>Cvolumen molar</m:t>
                    </m:r>
                  </m:den>
                </m:f>
                <m:r>
                  <w:rPr>
                    <w:rFonts w:ascii="Cambria Math" w:hAnsi="Cambria Math" w:cs="Arial"/>
                  </w:rPr>
                  <m:t>*MWC</m:t>
                </m:r>
                <m:sSub>
                  <m:sSubPr>
                    <m:ctrlPr>
                      <w:rPr>
                        <w:rFonts w:ascii="Cambria Math" w:hAnsi="Cambria Math" w:cs="Arial"/>
                        <w:i/>
                      </w:rPr>
                    </m:ctrlPr>
                  </m:sSubPr>
                  <m:e>
                    <m:r>
                      <w:rPr>
                        <w:rFonts w:ascii="Cambria Math" w:hAnsi="Cambria Math" w:cs="Arial"/>
                      </w:rPr>
                      <m:t>H</m:t>
                    </m:r>
                  </m:e>
                  <m:sub>
                    <m:r>
                      <w:rPr>
                        <w:rFonts w:ascii="Cambria Math" w:hAnsi="Cambria Math" w:cs="Arial"/>
                      </w:rPr>
                      <m:t>4</m:t>
                    </m:r>
                  </m:sub>
                </m:sSub>
              </m:oMath>
            </m:oMathPara>
          </w:p>
        </w:tc>
        <w:tc>
          <w:tcPr>
            <w:tcW w:w="1404" w:type="dxa"/>
            <w:vAlign w:val="center"/>
          </w:tcPr>
          <w:p w14:paraId="53E6A44A" w14:textId="04B60353" w:rsidR="00261160" w:rsidRPr="00F519DA" w:rsidRDefault="00261160" w:rsidP="001F5326">
            <w:pPr>
              <w:jc w:val="right"/>
              <w:rPr>
                <w:b/>
                <w:bCs/>
                <w:sz w:val="20"/>
              </w:rPr>
            </w:pPr>
            <w:r w:rsidRPr="00F519DA">
              <w:rPr>
                <w:rFonts w:cs="Arial"/>
                <w:b/>
                <w:bCs/>
                <w:sz w:val="20"/>
              </w:rPr>
              <w:t xml:space="preserve">Ecuación </w:t>
            </w:r>
            <w:r>
              <w:rPr>
                <w:rFonts w:cs="Arial"/>
                <w:b/>
                <w:bCs/>
                <w:sz w:val="20"/>
              </w:rPr>
              <w:t>3</w:t>
            </w:r>
          </w:p>
        </w:tc>
      </w:tr>
    </w:tbl>
    <w:p w14:paraId="4AEBFE71" w14:textId="77777777" w:rsidR="00261160" w:rsidRPr="00F519DA" w:rsidRDefault="00261160" w:rsidP="00F519DA">
      <w:pPr>
        <w:jc w:val="both"/>
        <w:rPr>
          <w:rFonts w:cs="Arial"/>
          <w:color w:val="auto"/>
          <w:szCs w:val="22"/>
        </w:rPr>
      </w:pPr>
    </w:p>
    <w:p w14:paraId="23CEE1BC" w14:textId="49B17E90" w:rsidR="00DB0E89" w:rsidRDefault="00DB0E89" w:rsidP="00DB0E89">
      <w:pPr>
        <w:jc w:val="both"/>
        <w:rPr>
          <w:rFonts w:cs="Arial"/>
          <w:color w:val="auto"/>
          <w:szCs w:val="22"/>
        </w:rPr>
      </w:pPr>
      <w:r>
        <w:rPr>
          <w:rFonts w:cs="Arial"/>
          <w:color w:val="auto"/>
          <w:szCs w:val="22"/>
        </w:rPr>
        <w:t xml:space="preserve">Donde: </w:t>
      </w:r>
    </w:p>
    <w:p w14:paraId="39513C9F" w14:textId="15E51528" w:rsidR="00602BD3" w:rsidRPr="00602BD3" w:rsidRDefault="00602BD3" w:rsidP="00DB0E89">
      <w:pPr>
        <w:jc w:val="both"/>
        <w:rPr>
          <w:rFonts w:cs="Arial"/>
          <w:color w:val="auto"/>
          <w:sz w:val="20"/>
          <w:szCs w:val="22"/>
        </w:rPr>
      </w:pPr>
      <w:r w:rsidRPr="00602BD3">
        <w:rPr>
          <w:rFonts w:cs="Arial"/>
          <w:color w:val="auto"/>
          <w:sz w:val="20"/>
          <w:szCs w:val="22"/>
        </w:rPr>
        <w:t>Volumen quemado = Volumen quemado en la Tea;</w:t>
      </w:r>
    </w:p>
    <w:p w14:paraId="1A1FE6A7" w14:textId="77777777" w:rsidR="00602BD3" w:rsidRDefault="00AB45E0" w:rsidP="00DB0E89">
      <w:pPr>
        <w:jc w:val="both"/>
        <w:rPr>
          <w:rFonts w:cs="Arial"/>
          <w:color w:val="auto"/>
          <w:sz w:val="20"/>
          <w:szCs w:val="22"/>
        </w:rPr>
      </w:pPr>
      <m:oMath>
        <m:sSub>
          <m:sSubPr>
            <m:ctrlPr>
              <w:rPr>
                <w:rFonts w:ascii="Cambria Math" w:hAnsi="Cambria Math" w:cs="Arial"/>
                <w:i/>
                <w:color w:val="auto"/>
                <w:sz w:val="20"/>
                <w:szCs w:val="22"/>
              </w:rPr>
            </m:ctrlPr>
          </m:sSubPr>
          <m:e>
            <m:r>
              <w:rPr>
                <w:rFonts w:ascii="Cambria Math" w:hAnsi="Cambria Math" w:cs="Arial"/>
                <w:color w:val="auto"/>
                <w:sz w:val="20"/>
                <w:szCs w:val="22"/>
              </w:rPr>
              <m:t>X</m:t>
            </m:r>
          </m:e>
          <m:sub>
            <m:sSub>
              <m:sSubPr>
                <m:ctrlPr>
                  <w:rPr>
                    <w:rFonts w:ascii="Cambria Math" w:hAnsi="Cambria Math" w:cs="Arial"/>
                    <w:i/>
                    <w:color w:val="auto"/>
                    <w:sz w:val="20"/>
                    <w:szCs w:val="22"/>
                  </w:rPr>
                </m:ctrlPr>
              </m:sSubPr>
              <m:e>
                <m:r>
                  <w:rPr>
                    <w:rFonts w:ascii="Cambria Math" w:hAnsi="Cambria Math" w:cs="Arial"/>
                    <w:color w:val="auto"/>
                    <w:sz w:val="20"/>
                    <w:szCs w:val="22"/>
                  </w:rPr>
                  <m:t>CH</m:t>
                </m:r>
              </m:e>
              <m:sub>
                <m:r>
                  <w:rPr>
                    <w:rFonts w:ascii="Cambria Math" w:hAnsi="Cambria Math" w:cs="Arial"/>
                    <w:color w:val="auto"/>
                    <w:sz w:val="20"/>
                    <w:szCs w:val="22"/>
                  </w:rPr>
                  <m:t>4</m:t>
                </m:r>
              </m:sub>
            </m:sSub>
          </m:sub>
        </m:sSub>
      </m:oMath>
      <w:r w:rsidR="00DB0E89" w:rsidRPr="00CA05EE">
        <w:rPr>
          <w:rFonts w:cs="Arial"/>
          <w:color w:val="auto"/>
          <w:sz w:val="20"/>
          <w:szCs w:val="22"/>
        </w:rPr>
        <w:t xml:space="preserve"> = </w:t>
      </w:r>
      <w:r w:rsidR="00602BD3">
        <w:rPr>
          <w:rFonts w:cs="Arial"/>
          <w:color w:val="auto"/>
          <w:sz w:val="20"/>
          <w:szCs w:val="22"/>
        </w:rPr>
        <w:t>Fracción molar del metano en la corriente de gas;</w:t>
      </w:r>
    </w:p>
    <w:p w14:paraId="65DB789C" w14:textId="36A449A2" w:rsidR="00602BD3" w:rsidRDefault="00602BD3" w:rsidP="00DB0E89">
      <w:pPr>
        <w:jc w:val="both"/>
        <w:rPr>
          <w:rFonts w:cs="Arial"/>
          <w:color w:val="auto"/>
          <w:sz w:val="20"/>
          <w:szCs w:val="22"/>
        </w:rPr>
      </w:pPr>
      <w:r>
        <w:rPr>
          <w:rFonts w:cs="Arial"/>
          <w:color w:val="auto"/>
          <w:sz w:val="20"/>
          <w:szCs w:val="22"/>
        </w:rPr>
        <w:t>% CH</w:t>
      </w:r>
      <w:r w:rsidRPr="00602BD3">
        <w:rPr>
          <w:rFonts w:cs="Arial"/>
          <w:color w:val="auto"/>
          <w:sz w:val="20"/>
          <w:szCs w:val="22"/>
          <w:vertAlign w:val="subscript"/>
        </w:rPr>
        <w:t xml:space="preserve">4 </w:t>
      </w:r>
      <w:r>
        <w:rPr>
          <w:rFonts w:cs="Arial"/>
          <w:color w:val="auto"/>
          <w:sz w:val="20"/>
          <w:szCs w:val="22"/>
        </w:rPr>
        <w:t>residual = Fracción de metano sin reaccionar</w:t>
      </w:r>
      <w:r w:rsidR="006F4255">
        <w:rPr>
          <w:rFonts w:cs="Arial"/>
          <w:color w:val="auto"/>
          <w:sz w:val="20"/>
          <w:szCs w:val="22"/>
        </w:rPr>
        <w:t xml:space="preserve"> </w:t>
      </w:r>
      <w:r w:rsidR="006F4255" w:rsidRPr="00DA0A8D">
        <w:rPr>
          <w:rFonts w:cs="Arial"/>
          <w:b/>
          <w:bCs/>
          <w:color w:val="auto"/>
          <w:sz w:val="20"/>
          <w:szCs w:val="22"/>
        </w:rPr>
        <w:t>(1-DRE)</w:t>
      </w:r>
      <w:r>
        <w:rPr>
          <w:rFonts w:cs="Arial"/>
          <w:color w:val="auto"/>
          <w:sz w:val="20"/>
          <w:szCs w:val="22"/>
        </w:rPr>
        <w:t xml:space="preserve">; </w:t>
      </w:r>
    </w:p>
    <w:p w14:paraId="76D85446" w14:textId="77777777" w:rsidR="00602BD3" w:rsidRPr="00CA05EE" w:rsidRDefault="00602BD3" w:rsidP="00602BD3">
      <w:pPr>
        <w:jc w:val="both"/>
        <w:rPr>
          <w:rFonts w:cs="Arial"/>
          <w:color w:val="auto"/>
          <w:sz w:val="20"/>
          <w:szCs w:val="22"/>
        </w:rPr>
      </w:pPr>
      <w:proofErr w:type="spellStart"/>
      <w:r>
        <w:rPr>
          <w:rFonts w:cs="Arial"/>
          <w:color w:val="auto"/>
          <w:sz w:val="20"/>
          <w:szCs w:val="22"/>
        </w:rPr>
        <w:lastRenderedPageBreak/>
        <w:t>Cvolumen</w:t>
      </w:r>
      <w:proofErr w:type="spellEnd"/>
      <w:r>
        <w:rPr>
          <w:rFonts w:cs="Arial"/>
          <w:color w:val="auto"/>
          <w:sz w:val="20"/>
          <w:szCs w:val="22"/>
        </w:rPr>
        <w:t xml:space="preserve"> molar = </w:t>
      </w:r>
      <w:r w:rsidRPr="00CA05EE">
        <w:rPr>
          <w:rFonts w:cs="Arial"/>
          <w:color w:val="auto"/>
          <w:sz w:val="20"/>
          <w:szCs w:val="22"/>
        </w:rPr>
        <w:t xml:space="preserve">Conversión </w:t>
      </w:r>
      <w:r>
        <w:rPr>
          <w:rFonts w:cs="Arial"/>
          <w:color w:val="auto"/>
          <w:sz w:val="20"/>
          <w:szCs w:val="22"/>
        </w:rPr>
        <w:t xml:space="preserve">de volumen </w:t>
      </w:r>
      <w:r w:rsidRPr="00CA05EE">
        <w:rPr>
          <w:rFonts w:cs="Arial"/>
          <w:color w:val="auto"/>
          <w:sz w:val="20"/>
          <w:szCs w:val="22"/>
        </w:rPr>
        <w:t>molar a masa (379.3 SCF/lb-mol o 23.685 sm</w:t>
      </w:r>
      <w:r w:rsidRPr="00CA05EE">
        <w:rPr>
          <w:rFonts w:cs="Arial"/>
          <w:color w:val="auto"/>
          <w:sz w:val="20"/>
          <w:szCs w:val="22"/>
          <w:vertAlign w:val="superscript"/>
        </w:rPr>
        <w:t>3</w:t>
      </w:r>
      <w:r w:rsidRPr="00CA05EE">
        <w:rPr>
          <w:rFonts w:cs="Arial"/>
          <w:color w:val="auto"/>
          <w:sz w:val="20"/>
          <w:szCs w:val="22"/>
        </w:rPr>
        <w:t>/Kg-mol)</w:t>
      </w:r>
      <w:r>
        <w:rPr>
          <w:rFonts w:cs="Arial"/>
          <w:color w:val="auto"/>
          <w:sz w:val="20"/>
          <w:szCs w:val="22"/>
        </w:rPr>
        <w:t>;</w:t>
      </w:r>
    </w:p>
    <w:p w14:paraId="439A9EBD" w14:textId="7913E08C" w:rsidR="00DB0E89" w:rsidRDefault="00DB0E89" w:rsidP="00DB0E89">
      <w:pPr>
        <w:jc w:val="both"/>
        <w:rPr>
          <w:rFonts w:cs="Arial"/>
          <w:color w:val="auto"/>
          <w:sz w:val="20"/>
          <w:szCs w:val="22"/>
        </w:rPr>
      </w:pPr>
      <w:r w:rsidRPr="00CA05EE">
        <w:rPr>
          <w:rFonts w:cs="Arial"/>
          <w:color w:val="auto"/>
          <w:sz w:val="20"/>
          <w:szCs w:val="22"/>
        </w:rPr>
        <w:t>MWC</w:t>
      </w:r>
      <w:r w:rsidR="00602BD3">
        <w:rPr>
          <w:rFonts w:cs="Arial"/>
          <w:color w:val="auto"/>
          <w:sz w:val="20"/>
          <w:szCs w:val="22"/>
        </w:rPr>
        <w:t>H</w:t>
      </w:r>
      <w:r w:rsidR="00602BD3">
        <w:rPr>
          <w:rFonts w:cs="Arial"/>
          <w:color w:val="auto"/>
          <w:sz w:val="20"/>
          <w:szCs w:val="22"/>
          <w:vertAlign w:val="subscript"/>
        </w:rPr>
        <w:t>4</w:t>
      </w:r>
      <w:r>
        <w:rPr>
          <w:rFonts w:cs="Arial"/>
          <w:color w:val="auto"/>
          <w:sz w:val="20"/>
          <w:szCs w:val="22"/>
          <w:vertAlign w:val="subscript"/>
        </w:rPr>
        <w:t xml:space="preserve"> </w:t>
      </w:r>
      <w:r>
        <w:rPr>
          <w:rFonts w:cs="Arial"/>
          <w:color w:val="auto"/>
          <w:sz w:val="20"/>
          <w:szCs w:val="22"/>
        </w:rPr>
        <w:t>= Peso molecular del C</w:t>
      </w:r>
      <w:r w:rsidR="00602BD3">
        <w:rPr>
          <w:rFonts w:cs="Arial"/>
          <w:color w:val="auto"/>
          <w:sz w:val="20"/>
          <w:szCs w:val="22"/>
        </w:rPr>
        <w:t>H</w:t>
      </w:r>
      <w:r w:rsidR="005E16DB" w:rsidRPr="005E16DB">
        <w:rPr>
          <w:rFonts w:cs="Arial"/>
          <w:color w:val="auto"/>
          <w:sz w:val="20"/>
          <w:szCs w:val="22"/>
          <w:vertAlign w:val="subscript"/>
        </w:rPr>
        <w:t>4</w:t>
      </w:r>
      <w:r>
        <w:rPr>
          <w:rFonts w:cs="Arial"/>
          <w:color w:val="auto"/>
          <w:sz w:val="20"/>
          <w:szCs w:val="22"/>
        </w:rPr>
        <w:t xml:space="preserve">, </w:t>
      </w:r>
      <w:r w:rsidR="00602BD3">
        <w:rPr>
          <w:rFonts w:cs="Arial"/>
          <w:color w:val="auto"/>
          <w:sz w:val="20"/>
          <w:szCs w:val="22"/>
        </w:rPr>
        <w:t>16</w:t>
      </w:r>
      <w:r w:rsidR="00FA7D4A">
        <w:rPr>
          <w:rFonts w:cs="Arial"/>
          <w:color w:val="auto"/>
          <w:sz w:val="20"/>
          <w:szCs w:val="22"/>
        </w:rPr>
        <w:t>.</w:t>
      </w:r>
    </w:p>
    <w:p w14:paraId="3B76A1B5" w14:textId="58BDD03A" w:rsidR="00247B44" w:rsidRDefault="00247B44" w:rsidP="009F09B0">
      <w:pPr>
        <w:rPr>
          <w:rFonts w:cs="Arial"/>
          <w:color w:val="auto"/>
          <w:szCs w:val="22"/>
        </w:rPr>
      </w:pPr>
    </w:p>
    <w:p w14:paraId="04EA2301" w14:textId="5EFDF3CD" w:rsidR="00FA7D4A" w:rsidRDefault="00256DD6" w:rsidP="009F09B0">
      <w:pPr>
        <w:rPr>
          <w:rFonts w:cs="Arial"/>
          <w:color w:val="auto"/>
          <w:szCs w:val="22"/>
        </w:rPr>
      </w:pPr>
      <w:r>
        <w:rPr>
          <w:rFonts w:cs="Arial"/>
          <w:color w:val="auto"/>
          <w:szCs w:val="22"/>
        </w:rPr>
        <w:t xml:space="preserve">Finalmente, las emisiones de </w:t>
      </w:r>
      <w:bookmarkStart w:id="37" w:name="_Hlk147091267"/>
      <w:r>
        <w:rPr>
          <w:rFonts w:cs="Arial"/>
          <w:color w:val="auto"/>
          <w:szCs w:val="22"/>
        </w:rPr>
        <w:t>N</w:t>
      </w:r>
      <w:r w:rsidRPr="00256DD6">
        <w:rPr>
          <w:rFonts w:cs="Arial"/>
          <w:color w:val="auto"/>
          <w:szCs w:val="22"/>
          <w:vertAlign w:val="subscript"/>
        </w:rPr>
        <w:t>2</w:t>
      </w:r>
      <w:r>
        <w:rPr>
          <w:rFonts w:cs="Arial"/>
          <w:color w:val="auto"/>
          <w:szCs w:val="22"/>
        </w:rPr>
        <w:t>O</w:t>
      </w:r>
      <w:bookmarkEnd w:id="37"/>
      <w:r>
        <w:rPr>
          <w:rFonts w:cs="Arial"/>
          <w:color w:val="auto"/>
          <w:szCs w:val="22"/>
        </w:rPr>
        <w:t xml:space="preserve"> pueden ser estimadas a partir de la siguiente relación:</w:t>
      </w:r>
    </w:p>
    <w:p w14:paraId="4F7EE4F6" w14:textId="52229FA9" w:rsidR="00256DD6" w:rsidRDefault="00256DD6" w:rsidP="009F09B0">
      <w:pPr>
        <w:rPr>
          <w:rFonts w:cs="Arial"/>
          <w:color w:val="auto"/>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404"/>
      </w:tblGrid>
      <w:tr w:rsidR="00256DD6" w14:paraId="390FD358" w14:textId="77777777" w:rsidTr="001F5326">
        <w:trPr>
          <w:trHeight w:val="490"/>
        </w:trPr>
        <w:tc>
          <w:tcPr>
            <w:tcW w:w="7987" w:type="dxa"/>
            <w:vAlign w:val="center"/>
          </w:tcPr>
          <w:p w14:paraId="62F25BC2" w14:textId="32DB2EBE" w:rsidR="00256DD6" w:rsidRPr="00B27F7A" w:rsidRDefault="00AB45E0" w:rsidP="001F5326">
            <w:pPr>
              <w:jc w:val="center"/>
              <w:rPr>
                <w:rFonts w:cs="Arial"/>
              </w:rPr>
            </w:pPr>
            <m:oMathPara>
              <m:oMath>
                <m:sSub>
                  <m:sSubPr>
                    <m:ctrlPr>
                      <w:rPr>
                        <w:rFonts w:ascii="Cambria Math" w:hAnsi="Cambria Math" w:cs="Arial"/>
                        <w:i/>
                      </w:rPr>
                    </m:ctrlPr>
                  </m:sSubPr>
                  <m:e>
                    <m:r>
                      <w:rPr>
                        <w:rFonts w:ascii="Cambria Math" w:hAnsi="Cambria Math" w:cs="Arial"/>
                      </w:rPr>
                      <m:t>E</m:t>
                    </m:r>
                  </m:e>
                  <m:sub>
                    <m:sSub>
                      <m:sSubPr>
                        <m:ctrlPr>
                          <w:rPr>
                            <w:rFonts w:ascii="Cambria Math" w:hAnsi="Cambria Math" w:cs="Arial"/>
                            <w:i/>
                          </w:rPr>
                        </m:ctrlPr>
                      </m:sSubPr>
                      <m:e>
                        <m:r>
                          <w:rPr>
                            <w:rFonts w:ascii="Cambria Math" w:hAnsi="Cambria Math" w:cs="Arial"/>
                          </w:rPr>
                          <m:t>N</m:t>
                        </m:r>
                      </m:e>
                      <m:sub>
                        <m:r>
                          <w:rPr>
                            <w:rFonts w:ascii="Cambria Math" w:hAnsi="Cambria Math" w:cs="Arial"/>
                          </w:rPr>
                          <m:t>2</m:t>
                        </m:r>
                      </m:sub>
                    </m:sSub>
                    <m:r>
                      <w:rPr>
                        <w:rFonts w:ascii="Cambria Math" w:hAnsi="Cambria Math" w:cs="Arial"/>
                      </w:rPr>
                      <m:t>O</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E</m:t>
                        </m:r>
                      </m:e>
                      <m:sub>
                        <m:r>
                          <w:rPr>
                            <w:rFonts w:ascii="Cambria Math" w:hAnsi="Cambria Math" w:cs="Arial"/>
                          </w:rPr>
                          <m:t>C</m:t>
                        </m:r>
                        <m:sSub>
                          <m:sSubPr>
                            <m:ctrlPr>
                              <w:rPr>
                                <w:rFonts w:ascii="Cambria Math" w:hAnsi="Cambria Math" w:cs="Arial"/>
                                <w:i/>
                              </w:rPr>
                            </m:ctrlPr>
                          </m:sSubPr>
                          <m:e>
                            <m:r>
                              <w:rPr>
                                <w:rFonts w:ascii="Cambria Math" w:hAnsi="Cambria Math" w:cs="Arial"/>
                              </w:rPr>
                              <m:t>O</m:t>
                            </m:r>
                          </m:e>
                          <m:sub>
                            <m:r>
                              <w:rPr>
                                <w:rFonts w:ascii="Cambria Math" w:hAnsi="Cambria Math" w:cs="Arial"/>
                              </w:rPr>
                              <m:t>2</m:t>
                            </m:r>
                          </m:sub>
                        </m:sSub>
                      </m:sub>
                    </m:sSub>
                    <m:r>
                      <w:rPr>
                        <w:rFonts w:ascii="Cambria Math" w:hAnsi="Cambria Math" w:cs="Arial"/>
                      </w:rPr>
                      <m:t xml:space="preserve"> </m:t>
                    </m:r>
                    <m:f>
                      <m:fPr>
                        <m:ctrlPr>
                          <w:rPr>
                            <w:rFonts w:ascii="Cambria Math" w:hAnsi="Cambria Math" w:cs="Arial"/>
                            <w:i/>
                          </w:rPr>
                        </m:ctrlPr>
                      </m:fPr>
                      <m:num>
                        <m:r>
                          <w:rPr>
                            <w:rFonts w:ascii="Cambria Math" w:hAnsi="Cambria Math" w:cs="Arial"/>
                          </w:rPr>
                          <m:t>Em</m:t>
                        </m:r>
                        <m:sSub>
                          <m:sSubPr>
                            <m:ctrlPr>
                              <w:rPr>
                                <w:rFonts w:ascii="Cambria Math" w:hAnsi="Cambria Math" w:cs="Arial"/>
                                <w:i/>
                              </w:rPr>
                            </m:ctrlPr>
                          </m:sSubPr>
                          <m:e>
                            <m:r>
                              <w:rPr>
                                <w:rFonts w:ascii="Cambria Math" w:hAnsi="Cambria Math" w:cs="Arial"/>
                              </w:rPr>
                              <m:t>F</m:t>
                            </m:r>
                          </m:e>
                          <m:sub>
                            <m:sSub>
                              <m:sSubPr>
                                <m:ctrlPr>
                                  <w:rPr>
                                    <w:rFonts w:ascii="Cambria Math" w:hAnsi="Cambria Math" w:cs="Arial"/>
                                    <w:i/>
                                  </w:rPr>
                                </m:ctrlPr>
                              </m:sSubPr>
                              <m:e>
                                <m:r>
                                  <w:rPr>
                                    <w:rFonts w:ascii="Cambria Math" w:hAnsi="Cambria Math" w:cs="Arial"/>
                                  </w:rPr>
                                  <m:t>N</m:t>
                                </m:r>
                              </m:e>
                              <m:sub>
                                <m:r>
                                  <w:rPr>
                                    <w:rFonts w:ascii="Cambria Math" w:hAnsi="Cambria Math" w:cs="Arial"/>
                                  </w:rPr>
                                  <m:t>2</m:t>
                                </m:r>
                              </m:sub>
                            </m:sSub>
                            <m:r>
                              <w:rPr>
                                <w:rFonts w:ascii="Cambria Math" w:hAnsi="Cambria Math" w:cs="Arial"/>
                              </w:rPr>
                              <m:t>O</m:t>
                            </m:r>
                          </m:sub>
                        </m:sSub>
                      </m:num>
                      <m:den>
                        <m:r>
                          <w:rPr>
                            <w:rFonts w:ascii="Cambria Math" w:hAnsi="Cambria Math" w:cs="Arial"/>
                          </w:rPr>
                          <m:t>Em</m:t>
                        </m:r>
                        <m:sSub>
                          <m:sSubPr>
                            <m:ctrlPr>
                              <w:rPr>
                                <w:rFonts w:ascii="Cambria Math" w:hAnsi="Cambria Math" w:cs="Arial"/>
                                <w:i/>
                              </w:rPr>
                            </m:ctrlPr>
                          </m:sSubPr>
                          <m:e>
                            <m:r>
                              <w:rPr>
                                <w:rFonts w:ascii="Cambria Math" w:hAnsi="Cambria Math" w:cs="Arial"/>
                              </w:rPr>
                              <m:t>F</m:t>
                            </m:r>
                          </m:e>
                          <m:sub>
                            <m:r>
                              <w:rPr>
                                <w:rFonts w:ascii="Cambria Math" w:hAnsi="Cambria Math" w:cs="Arial"/>
                              </w:rPr>
                              <m:t>C</m:t>
                            </m:r>
                            <m:sSub>
                              <m:sSubPr>
                                <m:ctrlPr>
                                  <w:rPr>
                                    <w:rFonts w:ascii="Cambria Math" w:hAnsi="Cambria Math" w:cs="Arial"/>
                                    <w:i/>
                                  </w:rPr>
                                </m:ctrlPr>
                              </m:sSubPr>
                              <m:e>
                                <m:r>
                                  <w:rPr>
                                    <w:rFonts w:ascii="Cambria Math" w:hAnsi="Cambria Math" w:cs="Arial"/>
                                  </w:rPr>
                                  <m:t>O</m:t>
                                </m:r>
                              </m:e>
                              <m:sub>
                                <m:r>
                                  <w:rPr>
                                    <w:rFonts w:ascii="Cambria Math" w:hAnsi="Cambria Math" w:cs="Arial"/>
                                  </w:rPr>
                                  <m:t>2</m:t>
                                </m:r>
                              </m:sub>
                            </m:sSub>
                          </m:sub>
                        </m:sSub>
                      </m:den>
                    </m:f>
                  </m:e>
                </m:d>
              </m:oMath>
            </m:oMathPara>
          </w:p>
        </w:tc>
        <w:tc>
          <w:tcPr>
            <w:tcW w:w="1404" w:type="dxa"/>
            <w:vAlign w:val="center"/>
          </w:tcPr>
          <w:p w14:paraId="06B71791" w14:textId="1D732712" w:rsidR="00256DD6" w:rsidRPr="00F519DA" w:rsidRDefault="00256DD6" w:rsidP="001F5326">
            <w:pPr>
              <w:jc w:val="right"/>
              <w:rPr>
                <w:b/>
                <w:bCs/>
                <w:sz w:val="20"/>
              </w:rPr>
            </w:pPr>
            <w:r w:rsidRPr="00F519DA">
              <w:rPr>
                <w:rFonts w:cs="Arial"/>
                <w:b/>
                <w:bCs/>
                <w:sz w:val="20"/>
              </w:rPr>
              <w:t xml:space="preserve">Ecuación </w:t>
            </w:r>
            <w:r w:rsidR="005E16DB">
              <w:rPr>
                <w:rFonts w:cs="Arial"/>
                <w:b/>
                <w:bCs/>
                <w:sz w:val="20"/>
              </w:rPr>
              <w:t>4</w:t>
            </w:r>
          </w:p>
        </w:tc>
      </w:tr>
    </w:tbl>
    <w:p w14:paraId="1553FE9F" w14:textId="1515137C" w:rsidR="00256DD6" w:rsidRDefault="00256DD6" w:rsidP="009F09B0">
      <w:pPr>
        <w:rPr>
          <w:rFonts w:cs="Arial"/>
          <w:color w:val="auto"/>
          <w:szCs w:val="22"/>
        </w:rPr>
      </w:pPr>
    </w:p>
    <w:p w14:paraId="0BD2D772" w14:textId="77777777" w:rsidR="00256DD6" w:rsidRDefault="00256DD6" w:rsidP="00256DD6">
      <w:pPr>
        <w:jc w:val="both"/>
        <w:rPr>
          <w:rFonts w:cs="Arial"/>
          <w:color w:val="auto"/>
          <w:szCs w:val="22"/>
        </w:rPr>
      </w:pPr>
      <w:r>
        <w:rPr>
          <w:rFonts w:cs="Arial"/>
          <w:color w:val="auto"/>
          <w:szCs w:val="22"/>
        </w:rPr>
        <w:t xml:space="preserve">Donde: </w:t>
      </w:r>
    </w:p>
    <w:p w14:paraId="38EE2AE9" w14:textId="4C8DD397" w:rsidR="00256DD6" w:rsidRDefault="00AB45E0" w:rsidP="00256DD6">
      <w:pPr>
        <w:jc w:val="both"/>
        <w:rPr>
          <w:rFonts w:cs="Arial"/>
          <w:color w:val="auto"/>
          <w:sz w:val="20"/>
          <w:szCs w:val="22"/>
        </w:rPr>
      </w:pPr>
      <m:oMath>
        <m:sSub>
          <m:sSubPr>
            <m:ctrlPr>
              <w:rPr>
                <w:rFonts w:ascii="Cambria Math" w:hAnsi="Cambria Math" w:cs="Arial"/>
                <w:i/>
                <w:color w:val="auto"/>
                <w:sz w:val="20"/>
                <w:szCs w:val="22"/>
              </w:rPr>
            </m:ctrlPr>
          </m:sSubPr>
          <m:e>
            <m:r>
              <w:rPr>
                <w:rFonts w:ascii="Cambria Math" w:hAnsi="Cambria Math" w:cs="Arial"/>
                <w:color w:val="auto"/>
                <w:sz w:val="20"/>
                <w:szCs w:val="22"/>
              </w:rPr>
              <m:t>E</m:t>
            </m:r>
          </m:e>
          <m:sub>
            <m:sSub>
              <m:sSubPr>
                <m:ctrlPr>
                  <w:rPr>
                    <w:rFonts w:ascii="Cambria Math" w:hAnsi="Cambria Math" w:cs="Arial"/>
                    <w:i/>
                    <w:color w:val="auto"/>
                    <w:sz w:val="20"/>
                    <w:szCs w:val="22"/>
                  </w:rPr>
                </m:ctrlPr>
              </m:sSubPr>
              <m:e>
                <m:r>
                  <w:rPr>
                    <w:rFonts w:ascii="Cambria Math" w:hAnsi="Cambria Math" w:cs="Arial"/>
                    <w:color w:val="auto"/>
                    <w:sz w:val="20"/>
                    <w:szCs w:val="22"/>
                  </w:rPr>
                  <m:t>CO</m:t>
                </m:r>
              </m:e>
              <m:sub>
                <m:r>
                  <w:rPr>
                    <w:rFonts w:ascii="Cambria Math" w:hAnsi="Cambria Math" w:cs="Arial"/>
                    <w:color w:val="auto"/>
                    <w:sz w:val="20"/>
                    <w:szCs w:val="22"/>
                  </w:rPr>
                  <m:t>2</m:t>
                </m:r>
              </m:sub>
            </m:sSub>
          </m:sub>
        </m:sSub>
      </m:oMath>
      <w:r w:rsidR="00256DD6" w:rsidRPr="00CA05EE">
        <w:rPr>
          <w:rFonts w:cs="Arial"/>
          <w:color w:val="auto"/>
          <w:sz w:val="20"/>
          <w:szCs w:val="22"/>
        </w:rPr>
        <w:t xml:space="preserve"> = </w:t>
      </w:r>
      <w:r w:rsidR="00256DD6">
        <w:rPr>
          <w:rFonts w:cs="Arial"/>
          <w:color w:val="auto"/>
          <w:sz w:val="20"/>
          <w:szCs w:val="22"/>
        </w:rPr>
        <w:t>Emisión de CO</w:t>
      </w:r>
      <w:r w:rsidR="00256DD6" w:rsidRPr="007928E2">
        <w:rPr>
          <w:rFonts w:cs="Arial"/>
          <w:color w:val="auto"/>
          <w:sz w:val="20"/>
          <w:szCs w:val="22"/>
          <w:vertAlign w:val="subscript"/>
        </w:rPr>
        <w:t>2</w:t>
      </w:r>
      <w:r w:rsidR="00256DD6">
        <w:rPr>
          <w:rFonts w:cs="Arial"/>
          <w:color w:val="auto"/>
          <w:sz w:val="20"/>
          <w:szCs w:val="22"/>
        </w:rPr>
        <w:t xml:space="preserve"> de la Tea;</w:t>
      </w:r>
    </w:p>
    <w:p w14:paraId="1DCF823A" w14:textId="22721776" w:rsidR="007928E2" w:rsidRDefault="00AB45E0" w:rsidP="007928E2">
      <w:pPr>
        <w:jc w:val="both"/>
        <w:rPr>
          <w:rFonts w:cs="Arial"/>
          <w:color w:val="auto"/>
          <w:sz w:val="20"/>
          <w:szCs w:val="22"/>
        </w:rPr>
      </w:pPr>
      <m:oMath>
        <m:sSub>
          <m:sSubPr>
            <m:ctrlPr>
              <w:rPr>
                <w:rFonts w:ascii="Cambria Math" w:hAnsi="Cambria Math" w:cs="Arial"/>
                <w:i/>
                <w:color w:val="auto"/>
                <w:sz w:val="20"/>
                <w:szCs w:val="22"/>
              </w:rPr>
            </m:ctrlPr>
          </m:sSubPr>
          <m:e>
            <m:r>
              <w:rPr>
                <w:rFonts w:ascii="Cambria Math" w:hAnsi="Cambria Math" w:cs="Arial"/>
                <w:color w:val="auto"/>
                <w:sz w:val="20"/>
                <w:szCs w:val="22"/>
              </w:rPr>
              <m:t>EmF</m:t>
            </m:r>
          </m:e>
          <m:sub>
            <m:sSub>
              <m:sSubPr>
                <m:ctrlPr>
                  <w:rPr>
                    <w:rFonts w:ascii="Cambria Math" w:hAnsi="Cambria Math" w:cs="Arial"/>
                    <w:i/>
                    <w:color w:val="auto"/>
                    <w:sz w:val="20"/>
                    <w:szCs w:val="22"/>
                  </w:rPr>
                </m:ctrlPr>
              </m:sSubPr>
              <m:e>
                <m:r>
                  <w:rPr>
                    <w:rFonts w:ascii="Cambria Math" w:hAnsi="Cambria Math" w:cs="Arial"/>
                    <w:color w:val="auto"/>
                    <w:sz w:val="20"/>
                    <w:szCs w:val="22"/>
                  </w:rPr>
                  <m:t>N</m:t>
                </m:r>
              </m:e>
              <m:sub>
                <m:r>
                  <w:rPr>
                    <w:rFonts w:ascii="Cambria Math" w:hAnsi="Cambria Math" w:cs="Arial"/>
                    <w:color w:val="auto"/>
                    <w:sz w:val="20"/>
                    <w:szCs w:val="22"/>
                  </w:rPr>
                  <m:t>2</m:t>
                </m:r>
              </m:sub>
            </m:sSub>
            <m:r>
              <w:rPr>
                <w:rFonts w:ascii="Cambria Math" w:hAnsi="Cambria Math" w:cs="Arial"/>
                <w:color w:val="auto"/>
                <w:sz w:val="20"/>
                <w:szCs w:val="22"/>
              </w:rPr>
              <m:t>O</m:t>
            </m:r>
          </m:sub>
        </m:sSub>
      </m:oMath>
      <w:r w:rsidR="007928E2" w:rsidRPr="00CA05EE">
        <w:rPr>
          <w:rFonts w:cs="Arial"/>
          <w:color w:val="auto"/>
          <w:sz w:val="20"/>
          <w:szCs w:val="22"/>
        </w:rPr>
        <w:t xml:space="preserve"> = </w:t>
      </w:r>
      <w:r w:rsidR="007928E2">
        <w:rPr>
          <w:rFonts w:cs="Arial"/>
          <w:color w:val="auto"/>
          <w:sz w:val="20"/>
          <w:szCs w:val="22"/>
        </w:rPr>
        <w:t>Factor de emisión típico para N</w:t>
      </w:r>
      <w:r w:rsidR="007928E2" w:rsidRPr="007928E2">
        <w:rPr>
          <w:rFonts w:cs="Arial"/>
          <w:color w:val="auto"/>
          <w:sz w:val="20"/>
          <w:szCs w:val="22"/>
          <w:vertAlign w:val="subscript"/>
        </w:rPr>
        <w:t>2</w:t>
      </w:r>
      <w:r w:rsidR="007928E2">
        <w:rPr>
          <w:rFonts w:cs="Arial"/>
          <w:color w:val="auto"/>
          <w:sz w:val="20"/>
          <w:szCs w:val="22"/>
        </w:rPr>
        <w:t>O (1* 10</w:t>
      </w:r>
      <w:r w:rsidR="007928E2" w:rsidRPr="007928E2">
        <w:rPr>
          <w:rFonts w:cs="Arial"/>
          <w:color w:val="auto"/>
          <w:sz w:val="20"/>
          <w:szCs w:val="22"/>
          <w:vertAlign w:val="superscript"/>
        </w:rPr>
        <w:t>-3</w:t>
      </w:r>
      <w:r w:rsidR="007928E2">
        <w:rPr>
          <w:rFonts w:cs="Arial"/>
          <w:color w:val="auto"/>
          <w:sz w:val="20"/>
          <w:szCs w:val="22"/>
        </w:rPr>
        <w:t xml:space="preserve"> Kg N</w:t>
      </w:r>
      <w:r w:rsidR="007928E2" w:rsidRPr="007928E2">
        <w:rPr>
          <w:rFonts w:cs="Arial"/>
          <w:color w:val="auto"/>
          <w:sz w:val="20"/>
          <w:szCs w:val="22"/>
          <w:vertAlign w:val="subscript"/>
        </w:rPr>
        <w:t>2</w:t>
      </w:r>
      <w:r w:rsidR="007928E2">
        <w:rPr>
          <w:rFonts w:cs="Arial"/>
          <w:color w:val="auto"/>
          <w:sz w:val="20"/>
          <w:szCs w:val="22"/>
        </w:rPr>
        <w:t>O/MMBTU);</w:t>
      </w:r>
    </w:p>
    <w:p w14:paraId="3F107067" w14:textId="6D8628C0" w:rsidR="007928E2" w:rsidRDefault="00AB45E0" w:rsidP="007928E2">
      <w:pPr>
        <w:jc w:val="both"/>
        <w:rPr>
          <w:rFonts w:cs="Arial"/>
          <w:color w:val="auto"/>
          <w:sz w:val="20"/>
          <w:szCs w:val="22"/>
        </w:rPr>
      </w:pPr>
      <m:oMath>
        <m:sSub>
          <m:sSubPr>
            <m:ctrlPr>
              <w:rPr>
                <w:rFonts w:ascii="Cambria Math" w:hAnsi="Cambria Math" w:cs="Arial"/>
                <w:i/>
                <w:color w:val="auto"/>
                <w:sz w:val="20"/>
                <w:szCs w:val="22"/>
              </w:rPr>
            </m:ctrlPr>
          </m:sSubPr>
          <m:e>
            <m:r>
              <w:rPr>
                <w:rFonts w:ascii="Cambria Math" w:hAnsi="Cambria Math" w:cs="Arial"/>
                <w:color w:val="auto"/>
                <w:sz w:val="20"/>
                <w:szCs w:val="22"/>
              </w:rPr>
              <m:t>EmF</m:t>
            </m:r>
          </m:e>
          <m:sub>
            <m:sSub>
              <m:sSubPr>
                <m:ctrlPr>
                  <w:rPr>
                    <w:rFonts w:ascii="Cambria Math" w:hAnsi="Cambria Math" w:cs="Arial"/>
                    <w:i/>
                    <w:color w:val="auto"/>
                    <w:sz w:val="20"/>
                    <w:szCs w:val="22"/>
                  </w:rPr>
                </m:ctrlPr>
              </m:sSubPr>
              <m:e>
                <m:r>
                  <w:rPr>
                    <w:rFonts w:ascii="Cambria Math" w:hAnsi="Cambria Math" w:cs="Arial"/>
                    <w:color w:val="auto"/>
                    <w:sz w:val="20"/>
                    <w:szCs w:val="22"/>
                  </w:rPr>
                  <m:t>CO</m:t>
                </m:r>
              </m:e>
              <m:sub>
                <m:r>
                  <w:rPr>
                    <w:rFonts w:ascii="Cambria Math" w:hAnsi="Cambria Math" w:cs="Arial"/>
                    <w:color w:val="auto"/>
                    <w:sz w:val="20"/>
                    <w:szCs w:val="22"/>
                  </w:rPr>
                  <m:t>2</m:t>
                </m:r>
              </m:sub>
            </m:sSub>
          </m:sub>
        </m:sSub>
      </m:oMath>
      <w:r w:rsidR="007928E2" w:rsidRPr="00CA05EE">
        <w:rPr>
          <w:rFonts w:cs="Arial"/>
          <w:color w:val="auto"/>
          <w:sz w:val="20"/>
          <w:szCs w:val="22"/>
        </w:rPr>
        <w:t xml:space="preserve"> = </w:t>
      </w:r>
      <w:r w:rsidR="007928E2">
        <w:rPr>
          <w:rFonts w:cs="Arial"/>
          <w:color w:val="auto"/>
          <w:sz w:val="20"/>
          <w:szCs w:val="22"/>
        </w:rPr>
        <w:t>Factor de emisión típico para CO</w:t>
      </w:r>
      <w:r w:rsidR="007928E2" w:rsidRPr="007928E2">
        <w:rPr>
          <w:rFonts w:cs="Arial"/>
          <w:color w:val="auto"/>
          <w:sz w:val="20"/>
          <w:szCs w:val="22"/>
          <w:vertAlign w:val="subscript"/>
        </w:rPr>
        <w:t>2</w:t>
      </w:r>
      <w:r w:rsidR="007928E2">
        <w:rPr>
          <w:rFonts w:cs="Arial"/>
          <w:color w:val="auto"/>
          <w:sz w:val="20"/>
          <w:szCs w:val="22"/>
        </w:rPr>
        <w:t xml:space="preserve"> (60 Kg CO</w:t>
      </w:r>
      <w:r w:rsidR="007928E2" w:rsidRPr="007928E2">
        <w:rPr>
          <w:rFonts w:cs="Arial"/>
          <w:color w:val="auto"/>
          <w:sz w:val="20"/>
          <w:szCs w:val="22"/>
          <w:vertAlign w:val="subscript"/>
        </w:rPr>
        <w:t>2</w:t>
      </w:r>
      <w:r w:rsidR="007928E2">
        <w:rPr>
          <w:rFonts w:cs="Arial"/>
          <w:color w:val="auto"/>
          <w:sz w:val="20"/>
          <w:szCs w:val="22"/>
        </w:rPr>
        <w:t>/MMBTU).</w:t>
      </w:r>
    </w:p>
    <w:p w14:paraId="6AF11DC8" w14:textId="77777777" w:rsidR="007928E2" w:rsidRDefault="007928E2" w:rsidP="007928E2">
      <w:pPr>
        <w:jc w:val="both"/>
        <w:rPr>
          <w:rFonts w:cs="Arial"/>
          <w:color w:val="auto"/>
          <w:sz w:val="20"/>
          <w:szCs w:val="22"/>
        </w:rPr>
      </w:pPr>
    </w:p>
    <w:p w14:paraId="77FB3579" w14:textId="77777777" w:rsidR="00256DD6" w:rsidRDefault="00256DD6" w:rsidP="00256DD6">
      <w:pPr>
        <w:jc w:val="both"/>
        <w:rPr>
          <w:rFonts w:cs="Arial"/>
          <w:color w:val="auto"/>
          <w:sz w:val="20"/>
          <w:szCs w:val="22"/>
        </w:rPr>
      </w:pPr>
    </w:p>
    <w:p w14:paraId="119160DF" w14:textId="55687172" w:rsidR="005E16DB" w:rsidRDefault="005E16DB" w:rsidP="005E16DB">
      <w:pPr>
        <w:rPr>
          <w:rFonts w:cs="Arial"/>
          <w:color w:val="auto"/>
          <w:szCs w:val="22"/>
        </w:rPr>
      </w:pPr>
      <w:r w:rsidRPr="005E16DB">
        <w:rPr>
          <w:rFonts w:cs="Arial"/>
          <w:color w:val="auto"/>
          <w:szCs w:val="22"/>
        </w:rPr>
        <w:t xml:space="preserve">Las ecuaciones presentadas anteriormente indican </w:t>
      </w:r>
      <w:r w:rsidR="003A7D83" w:rsidRPr="005E16DB">
        <w:rPr>
          <w:rFonts w:cs="Arial"/>
          <w:color w:val="auto"/>
          <w:szCs w:val="22"/>
        </w:rPr>
        <w:t>que,</w:t>
      </w:r>
      <w:r w:rsidRPr="005E16DB">
        <w:rPr>
          <w:rFonts w:cs="Arial"/>
          <w:color w:val="auto"/>
          <w:szCs w:val="22"/>
        </w:rPr>
        <w:t xml:space="preserve"> para poder estimar las emisiones del proceso de quema en </w:t>
      </w:r>
      <w:r w:rsidR="00771157">
        <w:rPr>
          <w:rFonts w:cs="Arial"/>
          <w:color w:val="auto"/>
          <w:szCs w:val="22"/>
        </w:rPr>
        <w:t>T</w:t>
      </w:r>
      <w:r w:rsidRPr="005E16DB">
        <w:rPr>
          <w:rFonts w:cs="Arial"/>
          <w:color w:val="auto"/>
          <w:szCs w:val="22"/>
        </w:rPr>
        <w:t>ea, es necesario conocer:</w:t>
      </w:r>
    </w:p>
    <w:p w14:paraId="4260A4B5" w14:textId="77777777" w:rsidR="005E16DB" w:rsidRPr="005E16DB" w:rsidRDefault="005E16DB" w:rsidP="005E16DB">
      <w:pPr>
        <w:rPr>
          <w:rFonts w:cs="Arial"/>
          <w:color w:val="auto"/>
          <w:szCs w:val="22"/>
        </w:rPr>
      </w:pPr>
    </w:p>
    <w:p w14:paraId="113DF7D2" w14:textId="0F081B8B" w:rsidR="005E16DB" w:rsidRPr="005E16DB" w:rsidRDefault="005E16DB" w:rsidP="005E16DB">
      <w:pPr>
        <w:rPr>
          <w:rFonts w:cs="Arial"/>
          <w:color w:val="auto"/>
          <w:szCs w:val="22"/>
        </w:rPr>
      </w:pPr>
      <w:r w:rsidRPr="005E16DB">
        <w:rPr>
          <w:rFonts w:cs="Arial"/>
          <w:color w:val="auto"/>
          <w:szCs w:val="22"/>
        </w:rPr>
        <w:t>●</w:t>
      </w:r>
      <w:r w:rsidRPr="005E16DB">
        <w:rPr>
          <w:rFonts w:cs="Arial"/>
          <w:color w:val="auto"/>
          <w:szCs w:val="22"/>
        </w:rPr>
        <w:tab/>
        <w:t>Volumen de gas quemado</w:t>
      </w:r>
      <w:r w:rsidR="004762BE">
        <w:rPr>
          <w:rFonts w:cs="Arial"/>
          <w:color w:val="auto"/>
          <w:szCs w:val="22"/>
        </w:rPr>
        <w:t>.</w:t>
      </w:r>
      <w:r w:rsidRPr="005E16DB">
        <w:rPr>
          <w:rFonts w:cs="Arial"/>
          <w:color w:val="auto"/>
          <w:szCs w:val="22"/>
        </w:rPr>
        <w:t xml:space="preserve">     </w:t>
      </w:r>
    </w:p>
    <w:p w14:paraId="1158FE98" w14:textId="7D22F695" w:rsidR="005E16DB" w:rsidRPr="005E16DB" w:rsidRDefault="005E16DB" w:rsidP="005E16DB">
      <w:pPr>
        <w:rPr>
          <w:rFonts w:cs="Arial"/>
          <w:color w:val="auto"/>
          <w:szCs w:val="22"/>
        </w:rPr>
      </w:pPr>
      <w:r w:rsidRPr="005E16DB">
        <w:rPr>
          <w:rFonts w:cs="Arial"/>
          <w:color w:val="auto"/>
          <w:szCs w:val="22"/>
        </w:rPr>
        <w:t>●</w:t>
      </w:r>
      <w:r w:rsidRPr="005E16DB">
        <w:rPr>
          <w:rFonts w:cs="Arial"/>
          <w:color w:val="auto"/>
          <w:szCs w:val="22"/>
        </w:rPr>
        <w:tab/>
        <w:t xml:space="preserve">Eficiencia de la </w:t>
      </w:r>
      <w:r w:rsidR="00771157">
        <w:rPr>
          <w:rFonts w:cs="Arial"/>
          <w:color w:val="auto"/>
          <w:szCs w:val="22"/>
        </w:rPr>
        <w:t>T</w:t>
      </w:r>
      <w:r w:rsidRPr="005E16DB">
        <w:rPr>
          <w:rFonts w:cs="Arial"/>
          <w:color w:val="auto"/>
          <w:szCs w:val="22"/>
        </w:rPr>
        <w:t>ea</w:t>
      </w:r>
      <w:r w:rsidR="004762BE">
        <w:rPr>
          <w:rFonts w:cs="Arial"/>
          <w:color w:val="auto"/>
          <w:szCs w:val="22"/>
        </w:rPr>
        <w:t>.</w:t>
      </w:r>
      <w:r w:rsidRPr="005E16DB">
        <w:rPr>
          <w:rFonts w:cs="Arial"/>
          <w:color w:val="auto"/>
          <w:szCs w:val="22"/>
        </w:rPr>
        <w:t xml:space="preserve"> </w:t>
      </w:r>
    </w:p>
    <w:p w14:paraId="1E2BD5C0" w14:textId="415AA957" w:rsidR="005E16DB" w:rsidRPr="005E16DB" w:rsidRDefault="005E16DB" w:rsidP="005E16DB">
      <w:pPr>
        <w:rPr>
          <w:rFonts w:cs="Arial"/>
          <w:color w:val="auto"/>
          <w:szCs w:val="22"/>
        </w:rPr>
      </w:pPr>
      <w:r w:rsidRPr="005E16DB">
        <w:rPr>
          <w:rFonts w:cs="Arial"/>
          <w:color w:val="auto"/>
          <w:szCs w:val="22"/>
        </w:rPr>
        <w:t>●</w:t>
      </w:r>
      <w:r w:rsidRPr="005E16DB">
        <w:rPr>
          <w:rFonts w:cs="Arial"/>
          <w:color w:val="auto"/>
          <w:szCs w:val="22"/>
        </w:rPr>
        <w:tab/>
        <w:t xml:space="preserve">Eficiencia de destrucción de metano de la </w:t>
      </w:r>
      <w:r w:rsidR="00771157">
        <w:rPr>
          <w:rFonts w:cs="Arial"/>
          <w:color w:val="auto"/>
          <w:szCs w:val="22"/>
        </w:rPr>
        <w:t>T</w:t>
      </w:r>
      <w:r w:rsidRPr="005E16DB">
        <w:rPr>
          <w:rFonts w:cs="Arial"/>
          <w:color w:val="auto"/>
          <w:szCs w:val="22"/>
        </w:rPr>
        <w:t>ea</w:t>
      </w:r>
      <w:r w:rsidR="004762BE">
        <w:rPr>
          <w:rFonts w:cs="Arial"/>
          <w:color w:val="auto"/>
          <w:szCs w:val="22"/>
        </w:rPr>
        <w:t>.</w:t>
      </w:r>
    </w:p>
    <w:p w14:paraId="12B3FA00" w14:textId="75ED4749" w:rsidR="005E16DB" w:rsidRDefault="005E16DB" w:rsidP="005E16DB">
      <w:pPr>
        <w:rPr>
          <w:rFonts w:cs="Arial"/>
          <w:color w:val="auto"/>
          <w:szCs w:val="22"/>
        </w:rPr>
      </w:pPr>
      <w:r w:rsidRPr="005E16DB">
        <w:rPr>
          <w:rFonts w:cs="Arial"/>
          <w:color w:val="auto"/>
          <w:szCs w:val="22"/>
        </w:rPr>
        <w:t>●</w:t>
      </w:r>
      <w:r w:rsidRPr="005E16DB">
        <w:rPr>
          <w:rFonts w:cs="Arial"/>
          <w:color w:val="auto"/>
          <w:szCs w:val="22"/>
        </w:rPr>
        <w:tab/>
        <w:t>Composición de la corriente quemada</w:t>
      </w:r>
      <w:r w:rsidR="004762BE">
        <w:rPr>
          <w:rFonts w:cs="Arial"/>
          <w:color w:val="auto"/>
          <w:szCs w:val="22"/>
        </w:rPr>
        <w:t>.</w:t>
      </w:r>
    </w:p>
    <w:p w14:paraId="026302DA" w14:textId="77528543" w:rsidR="00256DD6" w:rsidRDefault="005E16DB" w:rsidP="005E16DB">
      <w:pPr>
        <w:rPr>
          <w:rFonts w:cs="Arial"/>
          <w:color w:val="auto"/>
          <w:szCs w:val="22"/>
        </w:rPr>
      </w:pPr>
      <w:r w:rsidRPr="005E16DB">
        <w:rPr>
          <w:rFonts w:cs="Arial"/>
          <w:color w:val="auto"/>
          <w:szCs w:val="22"/>
        </w:rPr>
        <w:t xml:space="preserve">  </w:t>
      </w:r>
    </w:p>
    <w:p w14:paraId="51266343" w14:textId="33CF4810" w:rsidR="00247B44" w:rsidRPr="00CE04B0" w:rsidRDefault="005E16DB" w:rsidP="00474CD3">
      <w:pPr>
        <w:pStyle w:val="Ttulo1"/>
        <w:numPr>
          <w:ilvl w:val="0"/>
          <w:numId w:val="5"/>
        </w:numPr>
        <w:rPr>
          <w:rFonts w:cs="Arial"/>
          <w:szCs w:val="28"/>
        </w:rPr>
      </w:pPr>
      <w:bookmarkStart w:id="38" w:name="_Toc145672304"/>
      <w:r w:rsidRPr="00474CD3">
        <w:rPr>
          <w:rFonts w:cs="Arial"/>
        </w:rPr>
        <w:t>EVALUACIÓN DE LA EFICIENCIA DE COMBUSTIÓN DE LA TEA</w:t>
      </w:r>
      <w:bookmarkEnd w:id="38"/>
    </w:p>
    <w:p w14:paraId="320C56DE" w14:textId="1E6D6050" w:rsidR="00F05923" w:rsidRDefault="00F05923" w:rsidP="00F05923"/>
    <w:p w14:paraId="5012C9BD" w14:textId="33933BEF" w:rsidR="00F05923" w:rsidRDefault="00F05923" w:rsidP="00F05923">
      <w:pPr>
        <w:jc w:val="both"/>
        <w:rPr>
          <w:rFonts w:cs="Arial"/>
        </w:rPr>
      </w:pPr>
      <w:r w:rsidRPr="00F05923">
        <w:rPr>
          <w:rFonts w:cs="Arial"/>
        </w:rPr>
        <w:t>La eficiencia de Combustión</w:t>
      </w:r>
      <w:r>
        <w:rPr>
          <w:rFonts w:cs="Arial"/>
        </w:rPr>
        <w:t xml:space="preserve"> </w:t>
      </w:r>
      <w:r w:rsidRPr="00F05923">
        <w:rPr>
          <w:rFonts w:cs="Arial"/>
        </w:rPr>
        <w:t>se define como la proporción de la masa de carbono</w:t>
      </w:r>
      <w:r>
        <w:rPr>
          <w:rFonts w:cs="Arial"/>
        </w:rPr>
        <w:t xml:space="preserve"> </w:t>
      </w:r>
      <w:r w:rsidRPr="00F05923">
        <w:rPr>
          <w:rFonts w:cs="Arial"/>
        </w:rPr>
        <w:t>completamente oxidado</w:t>
      </w:r>
      <w:r w:rsidR="0009256E">
        <w:rPr>
          <w:rFonts w:cs="Arial"/>
        </w:rPr>
        <w:t>; e</w:t>
      </w:r>
      <w:r w:rsidRPr="00F05923">
        <w:rPr>
          <w:rFonts w:cs="Arial"/>
        </w:rPr>
        <w:t>s decir, la masa de carbono dentro del dióxido de carbono producida por la combustión en relación con la masa de carbono en forma de hidrocarburos presentes en la corriente de combustible.</w:t>
      </w:r>
      <w:r>
        <w:rPr>
          <w:rFonts w:cs="Arial"/>
        </w:rPr>
        <w:t xml:space="preserve"> </w:t>
      </w:r>
      <w:r w:rsidR="0009256E">
        <w:rPr>
          <w:rFonts w:cs="Arial"/>
        </w:rPr>
        <w:t>Esta se</w:t>
      </w:r>
      <w:r>
        <w:rPr>
          <w:rFonts w:cs="Arial"/>
        </w:rPr>
        <w:t xml:space="preserve"> denota mediante la siguiente expresión</w:t>
      </w:r>
      <w:r w:rsidR="008771F8">
        <w:rPr>
          <w:rFonts w:cs="Arial"/>
        </w:rPr>
        <w:t xml:space="preserve"> </w:t>
      </w:r>
      <w:sdt>
        <w:sdtPr>
          <w:rPr>
            <w:rFonts w:cs="Arial"/>
          </w:rPr>
          <w:tag w:val="MENDELEY_CITATION_v3_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"/>
          <w:id w:val="709147393"/>
          <w:placeholder>
            <w:docPart w:val="DefaultPlaceholder_-1854013440"/>
          </w:placeholder>
        </w:sdtPr>
        <w:sdtEndPr/>
        <w:sdtContent>
          <w:r w:rsidR="00A44BAA" w:rsidRPr="00A44BAA">
            <w:rPr>
              <w:rFonts w:cs="Arial"/>
            </w:rPr>
            <w:t>[6]</w:t>
          </w:r>
        </w:sdtContent>
      </w:sdt>
      <w:r w:rsidR="008771F8">
        <w:rPr>
          <w:rFonts w:cs="Arial"/>
        </w:rPr>
        <w:t>:</w:t>
      </w:r>
    </w:p>
    <w:p w14:paraId="4A6F7B78" w14:textId="77777777" w:rsidR="00F05923" w:rsidRPr="00F05923" w:rsidRDefault="00F05923" w:rsidP="00F05923">
      <w:pPr>
        <w:rPr>
          <w:rFonts w:cs="Arial"/>
        </w:rPr>
      </w:pPr>
    </w:p>
    <w:p w14:paraId="346E14E2" w14:textId="7E23F259" w:rsidR="005E16DB" w:rsidRPr="00F05923" w:rsidRDefault="005E16DB" w:rsidP="005E16DB">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404"/>
      </w:tblGrid>
      <w:tr w:rsidR="00F05923" w14:paraId="45D471F7" w14:textId="77777777" w:rsidTr="001F5326">
        <w:trPr>
          <w:trHeight w:val="490"/>
        </w:trPr>
        <w:tc>
          <w:tcPr>
            <w:tcW w:w="7987" w:type="dxa"/>
            <w:vAlign w:val="center"/>
          </w:tcPr>
          <w:p w14:paraId="57A53FA1" w14:textId="6A992101" w:rsidR="00F05923" w:rsidRPr="00B27F7A" w:rsidRDefault="00F05923" w:rsidP="001F5326">
            <w:pPr>
              <w:jc w:val="center"/>
              <w:rPr>
                <w:rFonts w:cs="Arial"/>
              </w:rPr>
            </w:pPr>
            <m:oMathPara>
              <m:oMath>
                <m:r>
                  <w:rPr>
                    <w:rFonts w:ascii="Cambria Math" w:hAnsi="Cambria Math" w:cs="Arial"/>
                  </w:rPr>
                  <m:t>μ=</m:t>
                </m:r>
                <m:d>
                  <m:dPr>
                    <m:ctrlPr>
                      <w:rPr>
                        <w:rFonts w:ascii="Cambria Math" w:hAnsi="Cambria Math" w:cs="Arial"/>
                        <w:i/>
                      </w:rPr>
                    </m:ctrlPr>
                  </m:dPr>
                  <m:e>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sSub>
                              <m:sSubPr>
                                <m:ctrlPr>
                                  <w:rPr>
                                    <w:rFonts w:ascii="Cambria Math" w:hAnsi="Cambria Math" w:cs="Arial"/>
                                    <w:i/>
                                  </w:rPr>
                                </m:ctrlPr>
                              </m:sSubPr>
                              <m:e>
                                <m:r>
                                  <w:rPr>
                                    <w:rFonts w:ascii="Cambria Math" w:hAnsi="Cambria Math" w:cs="Arial"/>
                                  </w:rPr>
                                  <m:t>C, CO</m:t>
                                </m:r>
                              </m:e>
                              <m:sub>
                                <m:r>
                                  <w:rPr>
                                    <w:rFonts w:ascii="Cambria Math" w:hAnsi="Cambria Math" w:cs="Arial"/>
                                  </w:rPr>
                                  <m:t>2</m:t>
                                </m:r>
                              </m:sub>
                            </m:sSub>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C,f</m:t>
                            </m:r>
                          </m:sub>
                        </m:sSub>
                      </m:den>
                    </m:f>
                  </m:e>
                </m:d>
              </m:oMath>
            </m:oMathPara>
          </w:p>
        </w:tc>
        <w:tc>
          <w:tcPr>
            <w:tcW w:w="1404" w:type="dxa"/>
            <w:vAlign w:val="center"/>
          </w:tcPr>
          <w:p w14:paraId="7986DCE0" w14:textId="5859A667" w:rsidR="00F05923" w:rsidRPr="00F519DA" w:rsidRDefault="00F05923" w:rsidP="001F5326">
            <w:pPr>
              <w:jc w:val="right"/>
              <w:rPr>
                <w:b/>
                <w:bCs/>
                <w:sz w:val="20"/>
              </w:rPr>
            </w:pPr>
            <w:r w:rsidRPr="00F519DA">
              <w:rPr>
                <w:rFonts w:cs="Arial"/>
                <w:b/>
                <w:bCs/>
                <w:sz w:val="20"/>
              </w:rPr>
              <w:t xml:space="preserve">Ecuación </w:t>
            </w:r>
            <w:r>
              <w:rPr>
                <w:rFonts w:cs="Arial"/>
                <w:b/>
                <w:bCs/>
                <w:sz w:val="20"/>
              </w:rPr>
              <w:t>5</w:t>
            </w:r>
          </w:p>
        </w:tc>
      </w:tr>
    </w:tbl>
    <w:p w14:paraId="44152EC7" w14:textId="30D41A27" w:rsidR="005E16DB" w:rsidRPr="00F05923" w:rsidRDefault="005E16DB" w:rsidP="005E16DB">
      <w:pPr>
        <w:rPr>
          <w:rFonts w:cs="Arial"/>
        </w:rPr>
      </w:pPr>
    </w:p>
    <w:p w14:paraId="593D0294" w14:textId="77777777" w:rsidR="004E0020" w:rsidRDefault="004E0020" w:rsidP="004E0020">
      <w:pPr>
        <w:jc w:val="both"/>
        <w:rPr>
          <w:rFonts w:cs="Arial"/>
          <w:color w:val="auto"/>
          <w:szCs w:val="22"/>
        </w:rPr>
      </w:pPr>
      <w:r>
        <w:rPr>
          <w:rFonts w:cs="Arial"/>
          <w:color w:val="auto"/>
          <w:szCs w:val="22"/>
        </w:rPr>
        <w:t xml:space="preserve">Donde: </w:t>
      </w:r>
    </w:p>
    <w:p w14:paraId="1498DE15" w14:textId="71E5995C" w:rsidR="004E0020" w:rsidRDefault="004E0020" w:rsidP="004E0020">
      <w:pPr>
        <w:jc w:val="both"/>
        <w:rPr>
          <w:rFonts w:cs="Arial"/>
          <w:color w:val="auto"/>
          <w:sz w:val="20"/>
          <w:szCs w:val="22"/>
        </w:rPr>
      </w:pPr>
      <m:oMath>
        <m:r>
          <w:rPr>
            <w:rFonts w:ascii="Cambria Math" w:hAnsi="Cambria Math" w:cs="Arial"/>
            <w:color w:val="auto"/>
            <w:sz w:val="20"/>
            <w:szCs w:val="22"/>
          </w:rPr>
          <m:t xml:space="preserve">μ </m:t>
        </m:r>
      </m:oMath>
      <w:r w:rsidRPr="00CA05EE">
        <w:rPr>
          <w:rFonts w:cs="Arial"/>
          <w:color w:val="auto"/>
          <w:sz w:val="20"/>
          <w:szCs w:val="22"/>
        </w:rPr>
        <w:t xml:space="preserve">= </w:t>
      </w:r>
      <w:r>
        <w:rPr>
          <w:rFonts w:cs="Arial"/>
          <w:color w:val="auto"/>
          <w:sz w:val="20"/>
          <w:szCs w:val="22"/>
        </w:rPr>
        <w:t>Eficiencia de combustión;</w:t>
      </w:r>
    </w:p>
    <w:p w14:paraId="72DE2D06" w14:textId="5891130C" w:rsidR="004E0020" w:rsidRDefault="00AB45E0" w:rsidP="004E0020">
      <w:pPr>
        <w:jc w:val="both"/>
        <w:rPr>
          <w:rFonts w:cs="Arial"/>
          <w:color w:val="auto"/>
          <w:sz w:val="20"/>
          <w:szCs w:val="22"/>
        </w:rPr>
      </w:pPr>
      <m:oMath>
        <m:sSub>
          <m:sSubPr>
            <m:ctrlPr>
              <w:rPr>
                <w:rFonts w:ascii="Cambria Math" w:hAnsi="Cambria Math" w:cs="Arial"/>
                <w:i/>
                <w:color w:val="auto"/>
                <w:sz w:val="20"/>
                <w:szCs w:val="22"/>
              </w:rPr>
            </m:ctrlPr>
          </m:sSubPr>
          <m:e>
            <m:r>
              <w:rPr>
                <w:rFonts w:ascii="Cambria Math" w:hAnsi="Cambria Math" w:cs="Arial"/>
                <w:color w:val="auto"/>
                <w:sz w:val="20"/>
                <w:szCs w:val="22"/>
              </w:rPr>
              <m:t>M</m:t>
            </m:r>
          </m:e>
          <m:sub>
            <m:sSub>
              <m:sSubPr>
                <m:ctrlPr>
                  <w:rPr>
                    <w:rFonts w:ascii="Cambria Math" w:hAnsi="Cambria Math" w:cs="Arial"/>
                    <w:i/>
                    <w:color w:val="auto"/>
                    <w:sz w:val="20"/>
                    <w:szCs w:val="22"/>
                  </w:rPr>
                </m:ctrlPr>
              </m:sSubPr>
              <m:e>
                <m:r>
                  <w:rPr>
                    <w:rFonts w:ascii="Cambria Math" w:hAnsi="Cambria Math" w:cs="Arial"/>
                    <w:color w:val="auto"/>
                    <w:sz w:val="20"/>
                    <w:szCs w:val="22"/>
                  </w:rPr>
                  <m:t>C, CO</m:t>
                </m:r>
              </m:e>
              <m:sub>
                <m:r>
                  <w:rPr>
                    <w:rFonts w:ascii="Cambria Math" w:hAnsi="Cambria Math" w:cs="Arial"/>
                    <w:color w:val="auto"/>
                    <w:sz w:val="20"/>
                    <w:szCs w:val="22"/>
                  </w:rPr>
                  <m:t>2</m:t>
                </m:r>
              </m:sub>
            </m:sSub>
          </m:sub>
        </m:sSub>
      </m:oMath>
      <w:r w:rsidR="004E0020" w:rsidRPr="00CA05EE">
        <w:rPr>
          <w:rFonts w:cs="Arial"/>
          <w:color w:val="auto"/>
          <w:sz w:val="20"/>
          <w:szCs w:val="22"/>
        </w:rPr>
        <w:t xml:space="preserve"> = </w:t>
      </w:r>
      <w:r w:rsidR="004E0020">
        <w:rPr>
          <w:rFonts w:cs="Arial"/>
          <w:color w:val="auto"/>
          <w:sz w:val="20"/>
          <w:szCs w:val="22"/>
        </w:rPr>
        <w:t>Tasa de masa de carbono de CO</w:t>
      </w:r>
      <w:r w:rsidR="004E0020" w:rsidRPr="007928E2">
        <w:rPr>
          <w:rFonts w:cs="Arial"/>
          <w:color w:val="auto"/>
          <w:sz w:val="20"/>
          <w:szCs w:val="22"/>
          <w:vertAlign w:val="subscript"/>
        </w:rPr>
        <w:t>2</w:t>
      </w:r>
      <w:r w:rsidR="004E0020">
        <w:rPr>
          <w:rFonts w:cs="Arial"/>
          <w:color w:val="auto"/>
          <w:sz w:val="20"/>
          <w:szCs w:val="22"/>
        </w:rPr>
        <w:t xml:space="preserve"> producida por la llama;</w:t>
      </w:r>
    </w:p>
    <w:p w14:paraId="5094A254" w14:textId="4673A96D" w:rsidR="004E0020" w:rsidRDefault="00AB45E0" w:rsidP="004E0020">
      <w:pPr>
        <w:jc w:val="both"/>
        <w:rPr>
          <w:rFonts w:cs="Arial"/>
          <w:color w:val="auto"/>
          <w:sz w:val="20"/>
          <w:szCs w:val="22"/>
        </w:rPr>
      </w:pPr>
      <m:oMath>
        <m:sSub>
          <m:sSubPr>
            <m:ctrlPr>
              <w:rPr>
                <w:rFonts w:ascii="Cambria Math" w:hAnsi="Cambria Math" w:cs="Arial"/>
                <w:i/>
                <w:color w:val="auto"/>
                <w:sz w:val="20"/>
                <w:szCs w:val="22"/>
              </w:rPr>
            </m:ctrlPr>
          </m:sSubPr>
          <m:e>
            <m:r>
              <w:rPr>
                <w:rFonts w:ascii="Cambria Math" w:hAnsi="Cambria Math" w:cs="Arial"/>
                <w:color w:val="auto"/>
                <w:sz w:val="20"/>
                <w:szCs w:val="22"/>
              </w:rPr>
              <m:t>M</m:t>
            </m:r>
          </m:e>
          <m:sub>
            <m:r>
              <w:rPr>
                <w:rFonts w:ascii="Cambria Math" w:hAnsi="Cambria Math" w:cs="Arial"/>
                <w:color w:val="auto"/>
                <w:sz w:val="20"/>
                <w:szCs w:val="22"/>
              </w:rPr>
              <m:t>C,f</m:t>
            </m:r>
          </m:sub>
        </m:sSub>
      </m:oMath>
      <w:r w:rsidR="004E0020" w:rsidRPr="00CA05EE">
        <w:rPr>
          <w:rFonts w:cs="Arial"/>
          <w:color w:val="auto"/>
          <w:sz w:val="20"/>
          <w:szCs w:val="22"/>
        </w:rPr>
        <w:t xml:space="preserve"> = </w:t>
      </w:r>
      <w:r w:rsidR="004E0020">
        <w:rPr>
          <w:rFonts w:cs="Arial"/>
          <w:color w:val="auto"/>
          <w:sz w:val="20"/>
          <w:szCs w:val="22"/>
        </w:rPr>
        <w:t>Tasa de masa de carbono de hidrocarburo en el gas de Tea antes de la combustión.</w:t>
      </w:r>
    </w:p>
    <w:p w14:paraId="53FC1B3D" w14:textId="3A00D7EB" w:rsidR="005E16DB" w:rsidRPr="00F05923" w:rsidRDefault="005E16DB" w:rsidP="005E16DB">
      <w:pPr>
        <w:rPr>
          <w:rFonts w:cs="Arial"/>
        </w:rPr>
      </w:pPr>
    </w:p>
    <w:p w14:paraId="4D68143C" w14:textId="592A1E99" w:rsidR="005E16DB" w:rsidRDefault="005E16DB" w:rsidP="005E16DB">
      <w:pPr>
        <w:rPr>
          <w:rFonts w:cs="Arial"/>
        </w:rPr>
      </w:pPr>
    </w:p>
    <w:p w14:paraId="3FE4C373" w14:textId="1D16F210" w:rsidR="004C4ECB" w:rsidRDefault="004C4ECB" w:rsidP="005E16DB">
      <w:pPr>
        <w:rPr>
          <w:rFonts w:cs="Arial"/>
        </w:rPr>
      </w:pPr>
      <w:r>
        <w:rPr>
          <w:rFonts w:cs="Arial"/>
        </w:rPr>
        <w:t xml:space="preserve">Una forma alterna para la anterior ecuación es la siguiente: </w:t>
      </w:r>
    </w:p>
    <w:p w14:paraId="1451149A" w14:textId="059001AF" w:rsidR="004C4ECB" w:rsidRDefault="004C4ECB" w:rsidP="005E16DB">
      <w:pPr>
        <w:rPr>
          <w:rFonts w:cs="Arial"/>
        </w:rPr>
      </w:pPr>
    </w:p>
    <w:p w14:paraId="009D50B9" w14:textId="77777777" w:rsidR="004C4ECB" w:rsidRDefault="004C4ECB" w:rsidP="005E16DB">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404"/>
      </w:tblGrid>
      <w:tr w:rsidR="004C4ECB" w14:paraId="3DE3BC6E" w14:textId="77777777" w:rsidTr="001F5326">
        <w:trPr>
          <w:trHeight w:val="490"/>
        </w:trPr>
        <w:tc>
          <w:tcPr>
            <w:tcW w:w="7987" w:type="dxa"/>
            <w:vAlign w:val="center"/>
          </w:tcPr>
          <w:p w14:paraId="17B6ED56" w14:textId="04C4CB2F" w:rsidR="004C4ECB" w:rsidRPr="00B27F7A" w:rsidRDefault="004C4ECB" w:rsidP="001F5326">
            <w:pPr>
              <w:jc w:val="center"/>
              <w:rPr>
                <w:rFonts w:cs="Arial"/>
              </w:rPr>
            </w:pPr>
            <m:oMathPara>
              <m:oMath>
                <m:r>
                  <w:rPr>
                    <w:rFonts w:ascii="Cambria Math" w:hAnsi="Cambria Math" w:cs="Arial"/>
                  </w:rPr>
                  <w:lastRenderedPageBreak/>
                  <m:t xml:space="preserve">CE </m:t>
                </m:r>
                <m:d>
                  <m:dPr>
                    <m:ctrlPr>
                      <w:rPr>
                        <w:rFonts w:ascii="Cambria Math" w:hAnsi="Cambria Math" w:cs="Arial"/>
                        <w:i/>
                      </w:rPr>
                    </m:ctrlPr>
                  </m:dPr>
                  <m:e>
                    <m:r>
                      <w:rPr>
                        <w:rFonts w:ascii="Cambria Math" w:hAnsi="Cambria Math" w:cs="Arial"/>
                      </w:rPr>
                      <m:t>%</m:t>
                    </m:r>
                  </m:e>
                </m:d>
                <m:r>
                  <w:rPr>
                    <w:rFonts w:ascii="Cambria Math" w:hAnsi="Cambria Math" w:cs="Arial"/>
                  </w:rPr>
                  <m:t>=</m:t>
                </m:r>
                <m:d>
                  <m:dPr>
                    <m:ctrlPr>
                      <w:rPr>
                        <w:rFonts w:ascii="Cambria Math" w:hAnsi="Cambria Math" w:cs="Arial"/>
                        <w:i/>
                      </w:rPr>
                    </m:ctrlPr>
                  </m:dPr>
                  <m:e>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d>
                              <m:dPr>
                                <m:begChr m:val="["/>
                                <m:endChr m:val="]"/>
                                <m:ctrlPr>
                                  <w:rPr>
                                    <w:rFonts w:ascii="Cambria Math" w:hAnsi="Cambria Math" w:cs="Arial"/>
                                    <w:i/>
                                  </w:rPr>
                                </m:ctrlPr>
                              </m:dPr>
                              <m:e>
                                <m:r>
                                  <w:rPr>
                                    <w:rFonts w:ascii="Cambria Math" w:hAnsi="Cambria Math" w:cs="Arial"/>
                                  </w:rPr>
                                  <m:t>C</m:t>
                                </m:r>
                              </m:e>
                            </m:d>
                          </m:e>
                          <m:sub>
                            <m:sSub>
                              <m:sSubPr>
                                <m:ctrlPr>
                                  <w:rPr>
                                    <w:rFonts w:ascii="Cambria Math" w:hAnsi="Cambria Math" w:cs="Arial"/>
                                    <w:i/>
                                  </w:rPr>
                                </m:ctrlPr>
                              </m:sSubPr>
                              <m:e>
                                <m:r>
                                  <w:rPr>
                                    <w:rFonts w:ascii="Cambria Math" w:hAnsi="Cambria Math" w:cs="Arial"/>
                                  </w:rPr>
                                  <m:t xml:space="preserve"> CO</m:t>
                                </m:r>
                              </m:e>
                              <m:sub>
                                <m:r>
                                  <w:rPr>
                                    <w:rFonts w:ascii="Cambria Math" w:hAnsi="Cambria Math" w:cs="Arial"/>
                                  </w:rPr>
                                  <m:t>2</m:t>
                                </m:r>
                              </m:sub>
                            </m:sSub>
                          </m:sub>
                        </m:sSub>
                      </m:num>
                      <m:den>
                        <m:sSub>
                          <m:sSubPr>
                            <m:ctrlPr>
                              <w:rPr>
                                <w:rFonts w:ascii="Cambria Math" w:hAnsi="Cambria Math" w:cs="Arial"/>
                                <w:i/>
                              </w:rPr>
                            </m:ctrlPr>
                          </m:sSubPr>
                          <m:e>
                            <m:nary>
                              <m:naryPr>
                                <m:chr m:val="∑"/>
                                <m:limLoc m:val="subSup"/>
                                <m:supHide m:val="1"/>
                                <m:ctrlPr>
                                  <w:rPr>
                                    <w:rFonts w:ascii="Cambria Math" w:hAnsi="Cambria Math" w:cs="Arial"/>
                                    <w:i/>
                                  </w:rPr>
                                </m:ctrlPr>
                              </m:naryPr>
                              <m:sub>
                                <m:r>
                                  <w:rPr>
                                    <w:rFonts w:ascii="Cambria Math" w:hAnsi="Cambria Math" w:cs="Arial"/>
                                  </w:rPr>
                                  <m:t>i</m:t>
                                </m:r>
                              </m:sub>
                              <m:sup/>
                              <m:e>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e>
                            </m:nary>
                            <m:d>
                              <m:dPr>
                                <m:begChr m:val="["/>
                                <m:endChr m:val="]"/>
                                <m:ctrlPr>
                                  <w:rPr>
                                    <w:rFonts w:ascii="Cambria Math" w:hAnsi="Cambria Math" w:cs="Arial"/>
                                    <w:i/>
                                  </w:rPr>
                                </m:ctrlPr>
                              </m:dPr>
                              <m:e>
                                <m:r>
                                  <w:rPr>
                                    <w:rFonts w:ascii="Cambria Math" w:hAnsi="Cambria Math" w:cs="Arial"/>
                                  </w:rPr>
                                  <m:t>C</m:t>
                                </m:r>
                              </m:e>
                            </m:d>
                          </m:e>
                          <m:sub>
                            <m:r>
                              <w:rPr>
                                <w:rFonts w:ascii="Cambria Math" w:hAnsi="Cambria Math" w:cs="Arial"/>
                              </w:rPr>
                              <m:t>H</m:t>
                            </m:r>
                            <m:sSub>
                              <m:sSubPr>
                                <m:ctrlPr>
                                  <w:rPr>
                                    <w:rFonts w:ascii="Cambria Math" w:hAnsi="Cambria Math" w:cs="Arial"/>
                                    <w:i/>
                                  </w:rPr>
                                </m:ctrlPr>
                              </m:sSubPr>
                              <m:e>
                                <m:r>
                                  <w:rPr>
                                    <w:rFonts w:ascii="Cambria Math" w:hAnsi="Cambria Math" w:cs="Arial"/>
                                  </w:rPr>
                                  <m:t>C</m:t>
                                </m:r>
                              </m:e>
                              <m:sub>
                                <m:r>
                                  <w:rPr>
                                    <w:rFonts w:ascii="Cambria Math" w:hAnsi="Cambria Math" w:cs="Arial"/>
                                  </w:rPr>
                                  <m:t>i</m:t>
                                </m:r>
                              </m:sub>
                            </m:sSub>
                          </m:sub>
                        </m:sSub>
                        <m:r>
                          <w:rPr>
                            <w:rFonts w:ascii="Cambria Math" w:hAnsi="Cambria Math" w:cs="Arial"/>
                          </w:rPr>
                          <m:t xml:space="preserve">+ </m:t>
                        </m:r>
                        <m:sSub>
                          <m:sSubPr>
                            <m:ctrlPr>
                              <w:rPr>
                                <w:rFonts w:ascii="Cambria Math" w:hAnsi="Cambria Math" w:cs="Arial"/>
                                <w:i/>
                              </w:rPr>
                            </m:ctrlPr>
                          </m:sSubPr>
                          <m:e>
                            <m:d>
                              <m:dPr>
                                <m:begChr m:val="["/>
                                <m:endChr m:val="]"/>
                                <m:ctrlPr>
                                  <w:rPr>
                                    <w:rFonts w:ascii="Cambria Math" w:hAnsi="Cambria Math" w:cs="Arial"/>
                                    <w:i/>
                                  </w:rPr>
                                </m:ctrlPr>
                              </m:dPr>
                              <m:e>
                                <m:r>
                                  <w:rPr>
                                    <w:rFonts w:ascii="Cambria Math" w:hAnsi="Cambria Math" w:cs="Arial"/>
                                  </w:rPr>
                                  <m:t>C</m:t>
                                </m:r>
                              </m:e>
                            </m:d>
                          </m:e>
                          <m:sub>
                            <m:r>
                              <w:rPr>
                                <w:rFonts w:ascii="Cambria Math" w:hAnsi="Cambria Math" w:cs="Arial"/>
                              </w:rPr>
                              <m:t>CO</m:t>
                            </m:r>
                          </m:sub>
                        </m:sSub>
                        <m:r>
                          <w:rPr>
                            <w:rFonts w:ascii="Cambria Math" w:hAnsi="Cambria Math" w:cs="Arial"/>
                          </w:rPr>
                          <m:t xml:space="preserve">+ </m:t>
                        </m:r>
                        <m:sSub>
                          <m:sSubPr>
                            <m:ctrlPr>
                              <w:rPr>
                                <w:rFonts w:ascii="Cambria Math" w:hAnsi="Cambria Math" w:cs="Arial"/>
                                <w:i/>
                              </w:rPr>
                            </m:ctrlPr>
                          </m:sSubPr>
                          <m:e>
                            <m:d>
                              <m:dPr>
                                <m:begChr m:val="["/>
                                <m:endChr m:val="]"/>
                                <m:ctrlPr>
                                  <w:rPr>
                                    <w:rFonts w:ascii="Cambria Math" w:hAnsi="Cambria Math" w:cs="Arial"/>
                                    <w:i/>
                                  </w:rPr>
                                </m:ctrlPr>
                              </m:dPr>
                              <m:e>
                                <m:r>
                                  <w:rPr>
                                    <w:rFonts w:ascii="Cambria Math" w:hAnsi="Cambria Math" w:cs="Arial"/>
                                  </w:rPr>
                                  <m:t>C</m:t>
                                </m:r>
                              </m:e>
                            </m:d>
                          </m:e>
                          <m:sub>
                            <m:sSub>
                              <m:sSubPr>
                                <m:ctrlPr>
                                  <w:rPr>
                                    <w:rFonts w:ascii="Cambria Math" w:hAnsi="Cambria Math" w:cs="Arial"/>
                                    <w:i/>
                                  </w:rPr>
                                </m:ctrlPr>
                              </m:sSubPr>
                              <m:e>
                                <m:r>
                                  <w:rPr>
                                    <w:rFonts w:ascii="Cambria Math" w:hAnsi="Cambria Math" w:cs="Arial"/>
                                  </w:rPr>
                                  <m:t xml:space="preserve"> CO</m:t>
                                </m:r>
                              </m:e>
                              <m:sub>
                                <m:r>
                                  <w:rPr>
                                    <w:rFonts w:ascii="Cambria Math" w:hAnsi="Cambria Math" w:cs="Arial"/>
                                  </w:rPr>
                                  <m:t>2</m:t>
                                </m:r>
                              </m:sub>
                            </m:sSub>
                          </m:sub>
                        </m:sSub>
                        <m:r>
                          <w:rPr>
                            <w:rFonts w:ascii="Cambria Math" w:hAnsi="Cambria Math" w:cs="Arial"/>
                          </w:rPr>
                          <m:t xml:space="preserve"> </m:t>
                        </m:r>
                      </m:den>
                    </m:f>
                  </m:e>
                </m:d>
                <m:r>
                  <w:rPr>
                    <w:rFonts w:ascii="Cambria Math" w:hAnsi="Cambria Math" w:cs="Arial"/>
                  </w:rPr>
                  <m:t>*100</m:t>
                </m:r>
              </m:oMath>
            </m:oMathPara>
          </w:p>
        </w:tc>
        <w:tc>
          <w:tcPr>
            <w:tcW w:w="1404" w:type="dxa"/>
            <w:vAlign w:val="center"/>
          </w:tcPr>
          <w:p w14:paraId="5FBBACDE" w14:textId="4D73827D" w:rsidR="004C4ECB" w:rsidRPr="00F519DA" w:rsidRDefault="004C4ECB" w:rsidP="001F5326">
            <w:pPr>
              <w:jc w:val="right"/>
              <w:rPr>
                <w:b/>
                <w:bCs/>
                <w:sz w:val="20"/>
              </w:rPr>
            </w:pPr>
            <w:r w:rsidRPr="00F519DA">
              <w:rPr>
                <w:rFonts w:cs="Arial"/>
                <w:b/>
                <w:bCs/>
                <w:sz w:val="20"/>
              </w:rPr>
              <w:t xml:space="preserve">Ecuación </w:t>
            </w:r>
            <w:r>
              <w:rPr>
                <w:rFonts w:cs="Arial"/>
                <w:b/>
                <w:bCs/>
                <w:sz w:val="20"/>
              </w:rPr>
              <w:t>6</w:t>
            </w:r>
          </w:p>
        </w:tc>
      </w:tr>
    </w:tbl>
    <w:p w14:paraId="78DB0E86" w14:textId="644A6839" w:rsidR="004C4ECB" w:rsidRDefault="004C4ECB" w:rsidP="005E16DB">
      <w:pPr>
        <w:rPr>
          <w:rFonts w:cs="Arial"/>
        </w:rPr>
      </w:pPr>
    </w:p>
    <w:p w14:paraId="4BE2DF57" w14:textId="77777777" w:rsidR="004C4ECB" w:rsidRDefault="004C4ECB" w:rsidP="004C4ECB">
      <w:pPr>
        <w:jc w:val="both"/>
        <w:rPr>
          <w:rFonts w:cs="Arial"/>
          <w:color w:val="auto"/>
          <w:szCs w:val="22"/>
        </w:rPr>
      </w:pPr>
      <w:r>
        <w:rPr>
          <w:rFonts w:cs="Arial"/>
          <w:color w:val="auto"/>
          <w:szCs w:val="22"/>
        </w:rPr>
        <w:t xml:space="preserve">Donde: </w:t>
      </w:r>
    </w:p>
    <w:p w14:paraId="599EE6E5" w14:textId="27E708B9" w:rsidR="004C4ECB" w:rsidRDefault="004C4ECB" w:rsidP="004C4ECB">
      <w:pPr>
        <w:jc w:val="both"/>
        <w:rPr>
          <w:rFonts w:cs="Arial"/>
          <w:color w:val="auto"/>
          <w:sz w:val="20"/>
          <w:szCs w:val="22"/>
        </w:rPr>
      </w:pPr>
      <w:r>
        <w:rPr>
          <w:rFonts w:cs="Arial"/>
          <w:color w:val="auto"/>
          <w:sz w:val="20"/>
          <w:szCs w:val="22"/>
        </w:rPr>
        <w:t xml:space="preserve">CE </w:t>
      </w:r>
      <w:r w:rsidRPr="00CA05EE">
        <w:rPr>
          <w:rFonts w:cs="Arial"/>
          <w:color w:val="auto"/>
          <w:sz w:val="20"/>
          <w:szCs w:val="22"/>
        </w:rPr>
        <w:t xml:space="preserve">= </w:t>
      </w:r>
      <w:r>
        <w:rPr>
          <w:rFonts w:cs="Arial"/>
          <w:color w:val="auto"/>
          <w:sz w:val="20"/>
          <w:szCs w:val="22"/>
        </w:rPr>
        <w:t>Eficiencia de combustión en porcentaje;</w:t>
      </w:r>
    </w:p>
    <w:p w14:paraId="400CB44F" w14:textId="45805F26" w:rsidR="004C4ECB" w:rsidRDefault="00AB45E0" w:rsidP="004C4ECB">
      <w:pPr>
        <w:jc w:val="both"/>
        <w:rPr>
          <w:rFonts w:cs="Arial"/>
          <w:color w:val="auto"/>
          <w:sz w:val="20"/>
          <w:szCs w:val="22"/>
        </w:rPr>
      </w:pPr>
      <m:oMath>
        <m:sSub>
          <m:sSubPr>
            <m:ctrlPr>
              <w:rPr>
                <w:rFonts w:ascii="Cambria Math" w:hAnsi="Cambria Math" w:cs="Arial"/>
                <w:i/>
              </w:rPr>
            </m:ctrlPr>
          </m:sSubPr>
          <m:e>
            <m:d>
              <m:dPr>
                <m:begChr m:val="["/>
                <m:endChr m:val="]"/>
                <m:ctrlPr>
                  <w:rPr>
                    <w:rFonts w:ascii="Cambria Math" w:hAnsi="Cambria Math" w:cs="Arial"/>
                    <w:i/>
                  </w:rPr>
                </m:ctrlPr>
              </m:dPr>
              <m:e>
                <m:r>
                  <w:rPr>
                    <w:rFonts w:ascii="Cambria Math" w:hAnsi="Cambria Math" w:cs="Arial"/>
                  </w:rPr>
                  <m:t>C</m:t>
                </m:r>
              </m:e>
            </m:d>
          </m:e>
          <m:sub>
            <m:sSub>
              <m:sSubPr>
                <m:ctrlPr>
                  <w:rPr>
                    <w:rFonts w:ascii="Cambria Math" w:hAnsi="Cambria Math" w:cs="Arial"/>
                    <w:i/>
                  </w:rPr>
                </m:ctrlPr>
              </m:sSubPr>
              <m:e>
                <m:r>
                  <w:rPr>
                    <w:rFonts w:ascii="Cambria Math" w:hAnsi="Cambria Math" w:cs="Arial"/>
                  </w:rPr>
                  <m:t xml:space="preserve"> CO</m:t>
                </m:r>
              </m:e>
              <m:sub>
                <m:r>
                  <w:rPr>
                    <w:rFonts w:ascii="Cambria Math" w:hAnsi="Cambria Math" w:cs="Arial"/>
                  </w:rPr>
                  <m:t>2</m:t>
                </m:r>
              </m:sub>
            </m:sSub>
          </m:sub>
        </m:sSub>
      </m:oMath>
      <w:r w:rsidR="004C4ECB" w:rsidRPr="00CA05EE">
        <w:rPr>
          <w:rFonts w:cs="Arial"/>
          <w:color w:val="auto"/>
          <w:sz w:val="20"/>
          <w:szCs w:val="22"/>
        </w:rPr>
        <w:t xml:space="preserve">= </w:t>
      </w:r>
      <w:r w:rsidR="004C4ECB">
        <w:rPr>
          <w:rFonts w:cs="Arial"/>
          <w:color w:val="auto"/>
          <w:sz w:val="20"/>
          <w:szCs w:val="22"/>
        </w:rPr>
        <w:t>Concentración volumétrica de CO</w:t>
      </w:r>
      <w:r w:rsidR="004C4ECB" w:rsidRPr="007928E2">
        <w:rPr>
          <w:rFonts w:cs="Arial"/>
          <w:color w:val="auto"/>
          <w:sz w:val="20"/>
          <w:szCs w:val="22"/>
          <w:vertAlign w:val="subscript"/>
        </w:rPr>
        <w:t>2</w:t>
      </w:r>
      <w:r w:rsidR="004C4ECB">
        <w:rPr>
          <w:rFonts w:cs="Arial"/>
          <w:color w:val="auto"/>
          <w:sz w:val="20"/>
          <w:szCs w:val="22"/>
        </w:rPr>
        <w:t xml:space="preserve"> en el penacho;</w:t>
      </w:r>
    </w:p>
    <w:p w14:paraId="426E21BA" w14:textId="1362AE01" w:rsidR="004C4ECB" w:rsidRDefault="00AB45E0" w:rsidP="004C4ECB">
      <w:pPr>
        <w:jc w:val="both"/>
        <w:rPr>
          <w:rFonts w:cs="Arial"/>
          <w:color w:val="auto"/>
          <w:sz w:val="20"/>
          <w:szCs w:val="22"/>
        </w:rPr>
      </w:pPr>
      <m:oMath>
        <m:sSub>
          <m:sSubPr>
            <m:ctrlPr>
              <w:rPr>
                <w:rFonts w:ascii="Cambria Math" w:hAnsi="Cambria Math" w:cs="Arial"/>
                <w:i/>
              </w:rPr>
            </m:ctrlPr>
          </m:sSubPr>
          <m:e>
            <m:d>
              <m:dPr>
                <m:begChr m:val="["/>
                <m:endChr m:val="]"/>
                <m:ctrlPr>
                  <w:rPr>
                    <w:rFonts w:ascii="Cambria Math" w:hAnsi="Cambria Math" w:cs="Arial"/>
                    <w:i/>
                  </w:rPr>
                </m:ctrlPr>
              </m:dPr>
              <m:e>
                <m:r>
                  <w:rPr>
                    <w:rFonts w:ascii="Cambria Math" w:hAnsi="Cambria Math" w:cs="Arial"/>
                  </w:rPr>
                  <m:t>C</m:t>
                </m:r>
              </m:e>
            </m:d>
          </m:e>
          <m:sub>
            <m:r>
              <w:rPr>
                <w:rFonts w:ascii="Cambria Math" w:hAnsi="Cambria Math" w:cs="Arial"/>
              </w:rPr>
              <m:t>CO</m:t>
            </m:r>
          </m:sub>
        </m:sSub>
        <m:r>
          <w:rPr>
            <w:rFonts w:ascii="Cambria Math" w:hAnsi="Cambria Math" w:cs="Arial"/>
          </w:rPr>
          <m:t xml:space="preserve"> </m:t>
        </m:r>
      </m:oMath>
      <w:r w:rsidR="004C4ECB" w:rsidRPr="00CA05EE">
        <w:rPr>
          <w:rFonts w:cs="Arial"/>
          <w:color w:val="auto"/>
          <w:sz w:val="20"/>
          <w:szCs w:val="22"/>
        </w:rPr>
        <w:t xml:space="preserve">= </w:t>
      </w:r>
      <w:r w:rsidR="00F24087">
        <w:rPr>
          <w:rFonts w:cs="Arial"/>
          <w:color w:val="auto"/>
          <w:sz w:val="20"/>
          <w:szCs w:val="22"/>
        </w:rPr>
        <w:t>Concentración volumétrica de CO;</w:t>
      </w:r>
    </w:p>
    <w:p w14:paraId="4BBA0B0B" w14:textId="73809116" w:rsidR="00F24087" w:rsidRDefault="00AB45E0" w:rsidP="004C4ECB">
      <w:pPr>
        <w:jc w:val="both"/>
        <w:rPr>
          <w:rFonts w:cs="Arial"/>
          <w:color w:val="auto"/>
          <w:sz w:val="20"/>
          <w:szCs w:val="22"/>
        </w:rPr>
      </w:pPr>
      <m:oMath>
        <m:sSub>
          <m:sSubPr>
            <m:ctrlPr>
              <w:rPr>
                <w:rFonts w:ascii="Cambria Math" w:hAnsi="Cambria Math" w:cs="Arial"/>
                <w:i/>
              </w:rPr>
            </m:ctrlPr>
          </m:sSubPr>
          <m:e>
            <m:d>
              <m:dPr>
                <m:begChr m:val="["/>
                <m:endChr m:val="]"/>
                <m:ctrlPr>
                  <w:rPr>
                    <w:rFonts w:ascii="Cambria Math" w:hAnsi="Cambria Math" w:cs="Arial"/>
                    <w:i/>
                  </w:rPr>
                </m:ctrlPr>
              </m:dPr>
              <m:e>
                <m:r>
                  <w:rPr>
                    <w:rFonts w:ascii="Cambria Math" w:hAnsi="Cambria Math" w:cs="Arial"/>
                  </w:rPr>
                  <m:t>C</m:t>
                </m:r>
              </m:e>
            </m:d>
          </m:e>
          <m:sub>
            <m:sSub>
              <m:sSubPr>
                <m:ctrlPr>
                  <w:rPr>
                    <w:rFonts w:ascii="Cambria Math" w:hAnsi="Cambria Math" w:cs="Arial"/>
                    <w:i/>
                  </w:rPr>
                </m:ctrlPr>
              </m:sSubPr>
              <m:e>
                <m:r>
                  <w:rPr>
                    <w:rFonts w:ascii="Cambria Math" w:hAnsi="Cambria Math" w:cs="Arial"/>
                  </w:rPr>
                  <m:t xml:space="preserve"> HC</m:t>
                </m:r>
              </m:e>
              <m:sub>
                <m:r>
                  <w:rPr>
                    <w:rFonts w:ascii="Cambria Math" w:hAnsi="Cambria Math" w:cs="Arial"/>
                  </w:rPr>
                  <m:t>i</m:t>
                </m:r>
              </m:sub>
            </m:sSub>
          </m:sub>
        </m:sSub>
        <m:r>
          <w:rPr>
            <w:rFonts w:ascii="Cambria Math" w:hAnsi="Cambria Math" w:cs="Arial"/>
          </w:rPr>
          <m:t xml:space="preserve"> </m:t>
        </m:r>
      </m:oMath>
      <w:r w:rsidR="00F24087" w:rsidRPr="00CA05EE">
        <w:rPr>
          <w:rFonts w:cs="Arial"/>
          <w:color w:val="auto"/>
          <w:sz w:val="20"/>
          <w:szCs w:val="22"/>
        </w:rPr>
        <w:t xml:space="preserve">= </w:t>
      </w:r>
      <w:r w:rsidR="00F24087">
        <w:rPr>
          <w:rFonts w:cs="Arial"/>
          <w:color w:val="auto"/>
          <w:sz w:val="20"/>
          <w:szCs w:val="22"/>
        </w:rPr>
        <w:t>Concentración del hidrocarburo que ha quedado sin reaccionar después de la quema.</w:t>
      </w:r>
    </w:p>
    <w:p w14:paraId="2403BBAA" w14:textId="77777777" w:rsidR="00F24087" w:rsidRDefault="00F24087" w:rsidP="004C4ECB">
      <w:pPr>
        <w:jc w:val="both"/>
        <w:rPr>
          <w:rFonts w:cs="Arial"/>
          <w:color w:val="auto"/>
          <w:sz w:val="20"/>
          <w:szCs w:val="22"/>
        </w:rPr>
      </w:pPr>
    </w:p>
    <w:p w14:paraId="1610AD0C" w14:textId="77777777" w:rsidR="004C4ECB" w:rsidRPr="00F05923" w:rsidRDefault="004C4ECB" w:rsidP="004C4ECB">
      <w:pPr>
        <w:rPr>
          <w:rFonts w:cs="Arial"/>
        </w:rPr>
      </w:pPr>
    </w:p>
    <w:p w14:paraId="6A4A0726" w14:textId="59D0B085" w:rsidR="0030101A" w:rsidRDefault="0030101A" w:rsidP="0030101A">
      <w:pPr>
        <w:jc w:val="both"/>
        <w:rPr>
          <w:rFonts w:eastAsia="Arial" w:cs="Arial"/>
        </w:rPr>
      </w:pPr>
      <w:r>
        <w:rPr>
          <w:rFonts w:eastAsia="Arial" w:cs="Arial"/>
        </w:rPr>
        <w:t>Por otro lado, la eficiencia de destrucción de metano (DRE) está definida</w:t>
      </w:r>
      <w:r w:rsidR="004762BE">
        <w:rPr>
          <w:rFonts w:eastAsia="Arial" w:cs="Arial"/>
        </w:rPr>
        <w:t>,</w:t>
      </w:r>
      <w:r>
        <w:rPr>
          <w:rFonts w:eastAsia="Arial" w:cs="Arial"/>
        </w:rPr>
        <w:t xml:space="preserve"> </w:t>
      </w:r>
      <w:r w:rsidR="0009256E">
        <w:rPr>
          <w:rFonts w:eastAsia="Arial" w:cs="Arial"/>
        </w:rPr>
        <w:t>así</w:t>
      </w:r>
      <w:r>
        <w:rPr>
          <w:rFonts w:eastAsia="Arial" w:cs="Arial"/>
        </w:rPr>
        <w:t>:</w:t>
      </w:r>
    </w:p>
    <w:p w14:paraId="4AACA5F3" w14:textId="5C672827" w:rsidR="0030101A" w:rsidRDefault="0030101A" w:rsidP="0030101A">
      <w:pPr>
        <w:jc w:val="both"/>
        <w:rPr>
          <w:rFonts w:eastAsia="Arial" w:cs="Arial"/>
        </w:rPr>
      </w:pPr>
    </w:p>
    <w:p w14:paraId="7C7C47F1" w14:textId="77777777" w:rsidR="0030101A" w:rsidRDefault="0030101A" w:rsidP="0030101A">
      <w:pPr>
        <w:jc w:val="both"/>
        <w:rPr>
          <w:rFonts w:eastAsia="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404"/>
      </w:tblGrid>
      <w:tr w:rsidR="0030101A" w14:paraId="6B33EF2B" w14:textId="77777777" w:rsidTr="001F5326">
        <w:trPr>
          <w:trHeight w:val="490"/>
        </w:trPr>
        <w:tc>
          <w:tcPr>
            <w:tcW w:w="7987" w:type="dxa"/>
            <w:vAlign w:val="center"/>
          </w:tcPr>
          <w:p w14:paraId="7F32F2F6" w14:textId="0E229EFC" w:rsidR="0030101A" w:rsidRPr="00B27F7A" w:rsidRDefault="00AB45E0" w:rsidP="001F5326">
            <w:pPr>
              <w:jc w:val="center"/>
              <w:rPr>
                <w:rFonts w:cs="Arial"/>
              </w:rPr>
            </w:pPr>
            <m:oMathPara>
              <m:oMath>
                <m:sSub>
                  <m:sSubPr>
                    <m:ctrlPr>
                      <w:rPr>
                        <w:rFonts w:ascii="Cambria Math" w:hAnsi="Cambria Math" w:cs="Arial"/>
                        <w:i/>
                      </w:rPr>
                    </m:ctrlPr>
                  </m:sSubPr>
                  <m:e>
                    <m:r>
                      <w:rPr>
                        <w:rFonts w:ascii="Cambria Math" w:hAnsi="Cambria Math" w:cs="Arial"/>
                      </w:rPr>
                      <m:t>DRE</m:t>
                    </m:r>
                  </m:e>
                  <m:sub>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sub>
                </m:sSub>
                <m:r>
                  <w:rPr>
                    <w:rFonts w:ascii="Cambria Math" w:hAnsi="Cambria Math" w:cs="Arial"/>
                  </w:rPr>
                  <m:t>= 1-</m:t>
                </m:r>
                <m:d>
                  <m:dPr>
                    <m:ctrlPr>
                      <w:rPr>
                        <w:rFonts w:ascii="Cambria Math" w:hAnsi="Cambria Math" w:cs="Arial"/>
                        <w:i/>
                      </w:rPr>
                    </m:ctrlPr>
                  </m:dPr>
                  <m:e>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r>
                              <w:rPr>
                                <w:rFonts w:ascii="Cambria Math" w:hAnsi="Cambria Math" w:cs="Arial"/>
                              </w:rPr>
                              <m:t>, unc</m:t>
                            </m:r>
                          </m:sub>
                        </m:sSub>
                      </m:num>
                      <m:den>
                        <m:sSub>
                          <m:sSubPr>
                            <m:ctrlPr>
                              <w:rPr>
                                <w:rFonts w:ascii="Cambria Math" w:hAnsi="Cambria Math" w:cs="Arial"/>
                                <w:i/>
                              </w:rPr>
                            </m:ctrlPr>
                          </m:sSubPr>
                          <m:e>
                            <m:r>
                              <w:rPr>
                                <w:rFonts w:ascii="Cambria Math" w:hAnsi="Cambria Math" w:cs="Arial"/>
                              </w:rPr>
                              <m:t>M</m:t>
                            </m:r>
                          </m:e>
                          <m:sub>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r>
                              <w:rPr>
                                <w:rFonts w:ascii="Cambria Math" w:hAnsi="Cambria Math" w:cs="Arial"/>
                              </w:rPr>
                              <m:t>, f</m:t>
                            </m:r>
                          </m:sub>
                        </m:sSub>
                      </m:den>
                    </m:f>
                  </m:e>
                </m:d>
              </m:oMath>
            </m:oMathPara>
          </w:p>
        </w:tc>
        <w:tc>
          <w:tcPr>
            <w:tcW w:w="1404" w:type="dxa"/>
            <w:vAlign w:val="center"/>
          </w:tcPr>
          <w:p w14:paraId="609FBD74" w14:textId="254DE63B" w:rsidR="0030101A" w:rsidRPr="00F519DA" w:rsidRDefault="0030101A" w:rsidP="001F5326">
            <w:pPr>
              <w:jc w:val="right"/>
              <w:rPr>
                <w:b/>
                <w:bCs/>
                <w:sz w:val="20"/>
              </w:rPr>
            </w:pPr>
            <w:r w:rsidRPr="00F519DA">
              <w:rPr>
                <w:rFonts w:cs="Arial"/>
                <w:b/>
                <w:bCs/>
                <w:sz w:val="20"/>
              </w:rPr>
              <w:t xml:space="preserve">Ecuación </w:t>
            </w:r>
            <w:r>
              <w:rPr>
                <w:rFonts w:cs="Arial"/>
                <w:b/>
                <w:bCs/>
                <w:sz w:val="20"/>
              </w:rPr>
              <w:t>7</w:t>
            </w:r>
          </w:p>
        </w:tc>
      </w:tr>
    </w:tbl>
    <w:p w14:paraId="534507CD" w14:textId="77777777" w:rsidR="00436DD2" w:rsidRPr="00436DD2" w:rsidRDefault="00436DD2" w:rsidP="00436DD2">
      <w:pPr>
        <w:rPr>
          <w:rFonts w:cs="Arial"/>
        </w:rPr>
      </w:pPr>
    </w:p>
    <w:p w14:paraId="30A0EFD0" w14:textId="77777777" w:rsidR="0060315B" w:rsidRDefault="0060315B" w:rsidP="0060315B">
      <w:pPr>
        <w:jc w:val="both"/>
        <w:rPr>
          <w:rFonts w:cs="Arial"/>
          <w:color w:val="auto"/>
          <w:szCs w:val="22"/>
        </w:rPr>
      </w:pPr>
      <w:r>
        <w:rPr>
          <w:rFonts w:cs="Arial"/>
          <w:color w:val="auto"/>
          <w:szCs w:val="22"/>
        </w:rPr>
        <w:t xml:space="preserve">Donde: </w:t>
      </w:r>
    </w:p>
    <w:p w14:paraId="4F84BD2C" w14:textId="1E8641BF" w:rsidR="0060315B" w:rsidRDefault="00AB45E0" w:rsidP="0060315B">
      <w:pPr>
        <w:jc w:val="both"/>
        <w:rPr>
          <w:rFonts w:cs="Arial"/>
          <w:color w:val="auto"/>
          <w:sz w:val="20"/>
          <w:szCs w:val="22"/>
        </w:rPr>
      </w:pPr>
      <m:oMath>
        <m:sSub>
          <m:sSubPr>
            <m:ctrlPr>
              <w:rPr>
                <w:rFonts w:ascii="Cambria Math" w:hAnsi="Cambria Math" w:cs="Arial"/>
                <w:i/>
                <w:color w:val="auto"/>
                <w:sz w:val="20"/>
                <w:szCs w:val="22"/>
              </w:rPr>
            </m:ctrlPr>
          </m:sSubPr>
          <m:e>
            <m:r>
              <w:rPr>
                <w:rFonts w:ascii="Cambria Math" w:hAnsi="Cambria Math" w:cs="Arial"/>
                <w:color w:val="auto"/>
                <w:sz w:val="20"/>
                <w:szCs w:val="22"/>
              </w:rPr>
              <m:t>DRE</m:t>
            </m:r>
          </m:e>
          <m:sub>
            <m:sSub>
              <m:sSubPr>
                <m:ctrlPr>
                  <w:rPr>
                    <w:rFonts w:ascii="Cambria Math" w:hAnsi="Cambria Math" w:cs="Arial"/>
                    <w:i/>
                    <w:color w:val="auto"/>
                    <w:sz w:val="20"/>
                    <w:szCs w:val="22"/>
                  </w:rPr>
                </m:ctrlPr>
              </m:sSubPr>
              <m:e>
                <m:r>
                  <w:rPr>
                    <w:rFonts w:ascii="Cambria Math" w:hAnsi="Cambria Math" w:cs="Arial"/>
                    <w:color w:val="auto"/>
                    <w:sz w:val="20"/>
                    <w:szCs w:val="22"/>
                  </w:rPr>
                  <m:t>CH</m:t>
                </m:r>
              </m:e>
              <m:sub>
                <m:r>
                  <w:rPr>
                    <w:rFonts w:ascii="Cambria Math" w:hAnsi="Cambria Math" w:cs="Arial"/>
                    <w:color w:val="auto"/>
                    <w:sz w:val="20"/>
                    <w:szCs w:val="22"/>
                  </w:rPr>
                  <m:t>4</m:t>
                </m:r>
              </m:sub>
            </m:sSub>
          </m:sub>
        </m:sSub>
      </m:oMath>
      <w:r w:rsidR="0060315B" w:rsidRPr="00CA05EE">
        <w:rPr>
          <w:rFonts w:cs="Arial"/>
          <w:color w:val="auto"/>
          <w:sz w:val="20"/>
          <w:szCs w:val="22"/>
        </w:rPr>
        <w:t xml:space="preserve"> = </w:t>
      </w:r>
      <w:r w:rsidR="0060315B">
        <w:rPr>
          <w:rFonts w:cs="Arial"/>
          <w:color w:val="auto"/>
          <w:sz w:val="20"/>
          <w:szCs w:val="22"/>
        </w:rPr>
        <w:t>Eficiencia de eliminación o destrucción del metano;</w:t>
      </w:r>
    </w:p>
    <w:p w14:paraId="20ED240F" w14:textId="5D3DCC4D" w:rsidR="0060315B" w:rsidRDefault="00AB45E0" w:rsidP="0060315B">
      <w:pPr>
        <w:jc w:val="both"/>
        <w:rPr>
          <w:rFonts w:cs="Arial"/>
          <w:color w:val="auto"/>
          <w:sz w:val="20"/>
          <w:szCs w:val="22"/>
        </w:rPr>
      </w:pPr>
      <m:oMath>
        <m:sSub>
          <m:sSubPr>
            <m:ctrlPr>
              <w:rPr>
                <w:rFonts w:ascii="Cambria Math" w:hAnsi="Cambria Math" w:cs="Arial"/>
                <w:i/>
              </w:rPr>
            </m:ctrlPr>
          </m:sSubPr>
          <m:e>
            <m:r>
              <w:rPr>
                <w:rFonts w:ascii="Cambria Math" w:hAnsi="Cambria Math" w:cs="Arial"/>
              </w:rPr>
              <m:t>M</m:t>
            </m:r>
          </m:e>
          <m:sub>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r>
              <w:rPr>
                <w:rFonts w:ascii="Cambria Math" w:hAnsi="Cambria Math" w:cs="Arial"/>
              </w:rPr>
              <m:t>, unc</m:t>
            </m:r>
          </m:sub>
        </m:sSub>
      </m:oMath>
      <w:r w:rsidR="0060315B" w:rsidRPr="00CA05EE">
        <w:rPr>
          <w:rFonts w:cs="Arial"/>
          <w:color w:val="auto"/>
          <w:sz w:val="20"/>
          <w:szCs w:val="22"/>
        </w:rPr>
        <w:t xml:space="preserve"> = </w:t>
      </w:r>
      <w:r w:rsidR="0060315B">
        <w:rPr>
          <w:rFonts w:cs="Arial"/>
          <w:color w:val="auto"/>
          <w:sz w:val="20"/>
          <w:szCs w:val="22"/>
        </w:rPr>
        <w:t>Tasa de masa de metano que no se ha quemado en la llama. Representa la cantidad de metano que no ha sido completamente oxidado y puede ser liberado a la atmósfera;</w:t>
      </w:r>
    </w:p>
    <w:p w14:paraId="1A82043F" w14:textId="0930662A" w:rsidR="0060315B" w:rsidRDefault="00AB45E0" w:rsidP="0060315B">
      <w:pPr>
        <w:jc w:val="both"/>
        <w:rPr>
          <w:rFonts w:cs="Arial"/>
        </w:rPr>
      </w:pPr>
      <m:oMath>
        <m:sSub>
          <m:sSubPr>
            <m:ctrlPr>
              <w:rPr>
                <w:rFonts w:ascii="Cambria Math" w:hAnsi="Cambria Math" w:cs="Arial"/>
                <w:i/>
              </w:rPr>
            </m:ctrlPr>
          </m:sSubPr>
          <m:e>
            <m:r>
              <w:rPr>
                <w:rFonts w:ascii="Cambria Math" w:hAnsi="Cambria Math" w:cs="Arial"/>
              </w:rPr>
              <m:t>M</m:t>
            </m:r>
          </m:e>
          <m:sub>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r>
              <w:rPr>
                <w:rFonts w:ascii="Cambria Math" w:hAnsi="Cambria Math" w:cs="Arial"/>
              </w:rPr>
              <m:t>, unc</m:t>
            </m:r>
          </m:sub>
        </m:sSub>
      </m:oMath>
      <w:r w:rsidR="0060315B" w:rsidRPr="00CA05EE">
        <w:rPr>
          <w:rFonts w:cs="Arial"/>
          <w:color w:val="auto"/>
          <w:sz w:val="20"/>
          <w:szCs w:val="22"/>
        </w:rPr>
        <w:t xml:space="preserve"> = </w:t>
      </w:r>
      <w:r w:rsidR="0060315B">
        <w:rPr>
          <w:rFonts w:cs="Arial"/>
          <w:color w:val="auto"/>
          <w:sz w:val="20"/>
          <w:szCs w:val="22"/>
        </w:rPr>
        <w:t xml:space="preserve">Tasa de masa de metano presente en el gas antes de la combustión. </w:t>
      </w:r>
    </w:p>
    <w:p w14:paraId="26D37D7E" w14:textId="77777777" w:rsidR="0060315B" w:rsidRDefault="0060315B" w:rsidP="0060315B">
      <w:pPr>
        <w:jc w:val="both"/>
        <w:rPr>
          <w:rFonts w:cs="Arial"/>
        </w:rPr>
      </w:pPr>
    </w:p>
    <w:p w14:paraId="74324288" w14:textId="1C378822" w:rsidR="0060315B" w:rsidRDefault="0060315B" w:rsidP="00A44F57">
      <w:pPr>
        <w:jc w:val="both"/>
        <w:rPr>
          <w:rFonts w:eastAsia="Arial" w:cs="Arial"/>
        </w:rPr>
      </w:pPr>
      <w:r>
        <w:rPr>
          <w:rFonts w:eastAsia="Arial" w:cs="Arial"/>
        </w:rPr>
        <w:t>En la práctica, la versión anterior puede ser modificada de la siguiente manera de tal forma que permita la evaluación experimental del DRE:</w:t>
      </w:r>
    </w:p>
    <w:p w14:paraId="196E4D3B" w14:textId="379591D9" w:rsidR="0060315B" w:rsidRDefault="0060315B" w:rsidP="00A44F57">
      <w:pPr>
        <w:jc w:val="both"/>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404"/>
      </w:tblGrid>
      <w:tr w:rsidR="0060315B" w14:paraId="147A1467" w14:textId="77777777" w:rsidTr="001F5326">
        <w:trPr>
          <w:trHeight w:val="490"/>
        </w:trPr>
        <w:tc>
          <w:tcPr>
            <w:tcW w:w="7987" w:type="dxa"/>
            <w:vAlign w:val="center"/>
          </w:tcPr>
          <w:p w14:paraId="7856F29B" w14:textId="356B7838" w:rsidR="0060315B" w:rsidRPr="00B27F7A" w:rsidRDefault="00AB45E0" w:rsidP="001F5326">
            <w:pPr>
              <w:jc w:val="center"/>
              <w:rPr>
                <w:rFonts w:cs="Arial"/>
              </w:rPr>
            </w:pPr>
            <m:oMathPara>
              <m:oMath>
                <m:sSub>
                  <m:sSubPr>
                    <m:ctrlPr>
                      <w:rPr>
                        <w:rFonts w:ascii="Cambria Math" w:hAnsi="Cambria Math" w:cs="Arial"/>
                        <w:i/>
                      </w:rPr>
                    </m:ctrlPr>
                  </m:sSubPr>
                  <m:e>
                    <m:r>
                      <w:rPr>
                        <w:rFonts w:ascii="Cambria Math" w:hAnsi="Cambria Math" w:cs="Arial"/>
                      </w:rPr>
                      <m:t>DRE</m:t>
                    </m:r>
                  </m:e>
                  <m:sub>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sub>
                </m:sSub>
                <m:r>
                  <w:rPr>
                    <w:rFonts w:ascii="Cambria Math" w:hAnsi="Cambria Math" w:cs="Arial"/>
                  </w:rPr>
                  <m:t xml:space="preserve">= </m:t>
                </m:r>
                <m:d>
                  <m:dPr>
                    <m:begChr m:val="["/>
                    <m:endChr m:val="]"/>
                    <m:ctrlPr>
                      <w:rPr>
                        <w:rFonts w:ascii="Cambria Math" w:hAnsi="Cambria Math" w:cs="Arial"/>
                        <w:i/>
                      </w:rPr>
                    </m:ctrlPr>
                  </m:dPr>
                  <m:e>
                    <m:r>
                      <w:rPr>
                        <w:rFonts w:ascii="Cambria Math" w:hAnsi="Cambria Math" w:cs="Arial"/>
                      </w:rPr>
                      <m:t>1-</m:t>
                    </m:r>
                    <m:d>
                      <m:dPr>
                        <m:ctrlPr>
                          <w:rPr>
                            <w:rFonts w:ascii="Cambria Math" w:hAnsi="Cambria Math" w:cs="Arial"/>
                            <w:i/>
                          </w:rPr>
                        </m:ctrlPr>
                      </m:dPr>
                      <m:e>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CF</m:t>
                                </m:r>
                              </m:e>
                              <m:sub>
                                <m:r>
                                  <w:rPr>
                                    <w:rFonts w:ascii="Cambria Math" w:hAnsi="Cambria Math" w:cs="Arial"/>
                                  </w:rPr>
                                  <m:t>out</m:t>
                                </m:r>
                              </m:sub>
                            </m:sSub>
                            <m:r>
                              <w:rPr>
                                <w:rFonts w:ascii="Cambria Math" w:hAnsi="Cambria Math" w:cs="Arial"/>
                              </w:rPr>
                              <m:t>(</m:t>
                            </m:r>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r>
                              <w:rPr>
                                <w:rFonts w:ascii="Cambria Math" w:hAnsi="Cambria Math" w:cs="Arial"/>
                              </w:rPr>
                              <m:t>)</m:t>
                            </m:r>
                          </m:num>
                          <m:den>
                            <m:sSub>
                              <m:sSubPr>
                                <m:ctrlPr>
                                  <w:rPr>
                                    <w:rFonts w:ascii="Cambria Math" w:hAnsi="Cambria Math" w:cs="Arial"/>
                                    <w:i/>
                                  </w:rPr>
                                </m:ctrlPr>
                              </m:sSubPr>
                              <m:e>
                                <m:r>
                                  <w:rPr>
                                    <w:rFonts w:ascii="Cambria Math" w:hAnsi="Cambria Math" w:cs="Arial"/>
                                  </w:rPr>
                                  <m:t>CF</m:t>
                                </m:r>
                              </m:e>
                              <m:sub>
                                <m:r>
                                  <w:rPr>
                                    <w:rFonts w:ascii="Cambria Math" w:hAnsi="Cambria Math" w:cs="Arial"/>
                                  </w:rPr>
                                  <m:t>in</m:t>
                                </m:r>
                              </m:sub>
                            </m:sSub>
                            <m:r>
                              <w:rPr>
                                <w:rFonts w:ascii="Cambria Math" w:hAnsi="Cambria Math" w:cs="Arial"/>
                              </w:rPr>
                              <m:t>(</m:t>
                            </m:r>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r>
                              <w:rPr>
                                <w:rFonts w:ascii="Cambria Math" w:hAnsi="Cambria Math" w:cs="Arial"/>
                              </w:rPr>
                              <m:t>)</m:t>
                            </m:r>
                          </m:den>
                        </m:f>
                      </m:e>
                    </m:d>
                  </m:e>
                </m:d>
                <m:r>
                  <w:rPr>
                    <w:rFonts w:ascii="Cambria Math" w:hAnsi="Cambria Math" w:cs="Arial"/>
                  </w:rPr>
                  <m:t>*100</m:t>
                </m:r>
              </m:oMath>
            </m:oMathPara>
          </w:p>
        </w:tc>
        <w:tc>
          <w:tcPr>
            <w:tcW w:w="1404" w:type="dxa"/>
            <w:vAlign w:val="center"/>
          </w:tcPr>
          <w:p w14:paraId="3AA62F87" w14:textId="73D16A5F" w:rsidR="0060315B" w:rsidRPr="00F519DA" w:rsidRDefault="0060315B" w:rsidP="001F5326">
            <w:pPr>
              <w:jc w:val="right"/>
              <w:rPr>
                <w:b/>
                <w:bCs/>
                <w:sz w:val="20"/>
              </w:rPr>
            </w:pPr>
            <w:r w:rsidRPr="00F519DA">
              <w:rPr>
                <w:rFonts w:cs="Arial"/>
                <w:b/>
                <w:bCs/>
                <w:sz w:val="20"/>
              </w:rPr>
              <w:t xml:space="preserve">Ecuación </w:t>
            </w:r>
            <w:r>
              <w:rPr>
                <w:rFonts w:cs="Arial"/>
                <w:b/>
                <w:bCs/>
                <w:sz w:val="20"/>
              </w:rPr>
              <w:t>8</w:t>
            </w:r>
          </w:p>
        </w:tc>
      </w:tr>
    </w:tbl>
    <w:p w14:paraId="0652A270" w14:textId="77777777" w:rsidR="001F5326" w:rsidRDefault="001F5326" w:rsidP="001F5326">
      <w:pPr>
        <w:jc w:val="both"/>
        <w:rPr>
          <w:rFonts w:cs="Arial"/>
          <w:color w:val="auto"/>
          <w:szCs w:val="22"/>
        </w:rPr>
      </w:pPr>
    </w:p>
    <w:p w14:paraId="310250DF" w14:textId="0A053F1B" w:rsidR="001F5326" w:rsidRDefault="001F5326" w:rsidP="001F5326">
      <w:pPr>
        <w:jc w:val="both"/>
        <w:rPr>
          <w:rFonts w:cs="Arial"/>
          <w:color w:val="auto"/>
          <w:szCs w:val="22"/>
        </w:rPr>
      </w:pPr>
      <w:r>
        <w:rPr>
          <w:rFonts w:cs="Arial"/>
          <w:color w:val="auto"/>
          <w:szCs w:val="22"/>
        </w:rPr>
        <w:t xml:space="preserve">Donde: </w:t>
      </w:r>
    </w:p>
    <w:p w14:paraId="40E53588" w14:textId="77777777" w:rsidR="001F5326" w:rsidRDefault="00AB45E0" w:rsidP="001F5326">
      <w:pPr>
        <w:jc w:val="both"/>
        <w:rPr>
          <w:rFonts w:cs="Arial"/>
          <w:color w:val="auto"/>
          <w:sz w:val="20"/>
          <w:szCs w:val="22"/>
        </w:rPr>
      </w:pPr>
      <m:oMath>
        <m:sSub>
          <m:sSubPr>
            <m:ctrlPr>
              <w:rPr>
                <w:rFonts w:ascii="Cambria Math" w:hAnsi="Cambria Math" w:cs="Arial"/>
                <w:i/>
                <w:color w:val="auto"/>
                <w:sz w:val="20"/>
                <w:szCs w:val="22"/>
              </w:rPr>
            </m:ctrlPr>
          </m:sSubPr>
          <m:e>
            <m:r>
              <w:rPr>
                <w:rFonts w:ascii="Cambria Math" w:hAnsi="Cambria Math" w:cs="Arial"/>
                <w:color w:val="auto"/>
                <w:sz w:val="20"/>
                <w:szCs w:val="22"/>
              </w:rPr>
              <m:t>DRE</m:t>
            </m:r>
          </m:e>
          <m:sub>
            <m:sSub>
              <m:sSubPr>
                <m:ctrlPr>
                  <w:rPr>
                    <w:rFonts w:ascii="Cambria Math" w:hAnsi="Cambria Math" w:cs="Arial"/>
                    <w:i/>
                    <w:color w:val="auto"/>
                    <w:sz w:val="20"/>
                    <w:szCs w:val="22"/>
                  </w:rPr>
                </m:ctrlPr>
              </m:sSubPr>
              <m:e>
                <m:r>
                  <w:rPr>
                    <w:rFonts w:ascii="Cambria Math" w:hAnsi="Cambria Math" w:cs="Arial"/>
                    <w:color w:val="auto"/>
                    <w:sz w:val="20"/>
                    <w:szCs w:val="22"/>
                  </w:rPr>
                  <m:t>CH</m:t>
                </m:r>
              </m:e>
              <m:sub>
                <m:r>
                  <w:rPr>
                    <w:rFonts w:ascii="Cambria Math" w:hAnsi="Cambria Math" w:cs="Arial"/>
                    <w:color w:val="auto"/>
                    <w:sz w:val="20"/>
                    <w:szCs w:val="22"/>
                  </w:rPr>
                  <m:t>4</m:t>
                </m:r>
              </m:sub>
            </m:sSub>
          </m:sub>
        </m:sSub>
      </m:oMath>
      <w:r w:rsidR="001F5326" w:rsidRPr="00CA05EE">
        <w:rPr>
          <w:rFonts w:cs="Arial"/>
          <w:color w:val="auto"/>
          <w:sz w:val="20"/>
          <w:szCs w:val="22"/>
        </w:rPr>
        <w:t xml:space="preserve"> = </w:t>
      </w:r>
      <w:r w:rsidR="001F5326">
        <w:rPr>
          <w:rFonts w:cs="Arial"/>
          <w:color w:val="auto"/>
          <w:sz w:val="20"/>
          <w:szCs w:val="22"/>
        </w:rPr>
        <w:t>Eficiencia de eliminación o destrucción del metano;</w:t>
      </w:r>
    </w:p>
    <w:p w14:paraId="344376ED" w14:textId="29658FE0" w:rsidR="001F5326" w:rsidRDefault="00AB45E0" w:rsidP="001F5326">
      <w:pPr>
        <w:jc w:val="both"/>
        <w:rPr>
          <w:rFonts w:cs="Arial"/>
          <w:color w:val="auto"/>
          <w:sz w:val="20"/>
          <w:szCs w:val="22"/>
        </w:rPr>
      </w:pPr>
      <m:oMath>
        <m:sSub>
          <m:sSubPr>
            <m:ctrlPr>
              <w:rPr>
                <w:rFonts w:ascii="Cambria Math" w:hAnsi="Cambria Math" w:cs="Arial"/>
                <w:i/>
              </w:rPr>
            </m:ctrlPr>
          </m:sSubPr>
          <m:e>
            <m:r>
              <w:rPr>
                <w:rFonts w:ascii="Cambria Math" w:hAnsi="Cambria Math" w:cs="Arial"/>
              </w:rPr>
              <m:t>CF</m:t>
            </m:r>
          </m:e>
          <m:sub>
            <m:r>
              <w:rPr>
                <w:rFonts w:ascii="Cambria Math" w:hAnsi="Cambria Math" w:cs="Arial"/>
              </w:rPr>
              <m:t>out</m:t>
            </m:r>
          </m:sub>
        </m:sSub>
        <m:r>
          <w:rPr>
            <w:rFonts w:ascii="Cambria Math" w:hAnsi="Cambria Math" w:cs="Arial"/>
          </w:rPr>
          <m:t>(</m:t>
        </m:r>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r>
          <w:rPr>
            <w:rFonts w:ascii="Cambria Math" w:hAnsi="Cambria Math" w:cs="Arial"/>
          </w:rPr>
          <m:t>)</m:t>
        </m:r>
      </m:oMath>
      <w:r w:rsidR="001F5326" w:rsidRPr="00CA05EE">
        <w:rPr>
          <w:rFonts w:cs="Arial"/>
          <w:color w:val="auto"/>
          <w:sz w:val="20"/>
          <w:szCs w:val="22"/>
        </w:rPr>
        <w:t xml:space="preserve"> </w:t>
      </w:r>
      <w:r w:rsidR="00AF1D15" w:rsidRPr="00CA05EE">
        <w:rPr>
          <w:rFonts w:cs="Arial"/>
          <w:color w:val="auto"/>
          <w:sz w:val="20"/>
          <w:szCs w:val="22"/>
        </w:rPr>
        <w:t xml:space="preserve">= </w:t>
      </w:r>
      <w:r w:rsidR="00AF1D15">
        <w:rPr>
          <w:rFonts w:cs="Arial"/>
          <w:color w:val="auto"/>
          <w:sz w:val="20"/>
          <w:szCs w:val="22"/>
        </w:rPr>
        <w:t>Tasa</w:t>
      </w:r>
      <w:r w:rsidR="001F5326">
        <w:rPr>
          <w:rFonts w:cs="Arial"/>
          <w:color w:val="auto"/>
          <w:sz w:val="20"/>
          <w:szCs w:val="22"/>
        </w:rPr>
        <w:t xml:space="preserve"> de flujo del metano a la salida de la Tea;</w:t>
      </w:r>
    </w:p>
    <w:p w14:paraId="5A84B757" w14:textId="7B3C9792" w:rsidR="001F5326" w:rsidRDefault="00AB45E0" w:rsidP="001F5326">
      <w:pPr>
        <w:jc w:val="both"/>
        <w:rPr>
          <w:rFonts w:cs="Arial"/>
          <w:color w:val="auto"/>
          <w:sz w:val="20"/>
          <w:szCs w:val="22"/>
        </w:rPr>
      </w:pPr>
      <m:oMath>
        <m:sSub>
          <m:sSubPr>
            <m:ctrlPr>
              <w:rPr>
                <w:rFonts w:ascii="Cambria Math" w:hAnsi="Cambria Math" w:cs="Arial"/>
                <w:i/>
              </w:rPr>
            </m:ctrlPr>
          </m:sSubPr>
          <m:e>
            <m:r>
              <w:rPr>
                <w:rFonts w:ascii="Cambria Math" w:hAnsi="Cambria Math" w:cs="Arial"/>
              </w:rPr>
              <m:t>CF</m:t>
            </m:r>
          </m:e>
          <m:sub>
            <m:r>
              <w:rPr>
                <w:rFonts w:ascii="Cambria Math" w:hAnsi="Cambria Math" w:cs="Arial"/>
              </w:rPr>
              <m:t>in</m:t>
            </m:r>
          </m:sub>
        </m:sSub>
        <m:r>
          <w:rPr>
            <w:rFonts w:ascii="Cambria Math" w:hAnsi="Cambria Math" w:cs="Arial"/>
          </w:rPr>
          <m:t>(</m:t>
        </m:r>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r>
          <w:rPr>
            <w:rFonts w:ascii="Cambria Math" w:hAnsi="Cambria Math" w:cs="Arial"/>
          </w:rPr>
          <m:t>)</m:t>
        </m:r>
      </m:oMath>
      <w:r w:rsidR="001F5326" w:rsidRPr="00CA05EE">
        <w:rPr>
          <w:rFonts w:cs="Arial"/>
          <w:color w:val="auto"/>
          <w:sz w:val="20"/>
          <w:szCs w:val="22"/>
        </w:rPr>
        <w:t xml:space="preserve"> = </w:t>
      </w:r>
      <w:r w:rsidR="001F5326">
        <w:rPr>
          <w:rFonts w:cs="Arial"/>
          <w:color w:val="auto"/>
          <w:sz w:val="20"/>
          <w:szCs w:val="22"/>
        </w:rPr>
        <w:t xml:space="preserve">Tasa de flujo del metano a la </w:t>
      </w:r>
      <w:r w:rsidR="00AF1D15">
        <w:rPr>
          <w:rFonts w:cs="Arial"/>
          <w:color w:val="auto"/>
          <w:sz w:val="20"/>
          <w:szCs w:val="22"/>
        </w:rPr>
        <w:t>entrada</w:t>
      </w:r>
      <w:r w:rsidR="001F5326">
        <w:rPr>
          <w:rFonts w:cs="Arial"/>
          <w:color w:val="auto"/>
          <w:sz w:val="20"/>
          <w:szCs w:val="22"/>
        </w:rPr>
        <w:t xml:space="preserve"> de la Tea</w:t>
      </w:r>
      <w:r w:rsidR="00606CBF">
        <w:rPr>
          <w:rFonts w:cs="Arial"/>
          <w:color w:val="auto"/>
          <w:sz w:val="20"/>
          <w:szCs w:val="22"/>
        </w:rPr>
        <w:t>.</w:t>
      </w:r>
    </w:p>
    <w:p w14:paraId="0008FB44" w14:textId="4E5088DB" w:rsidR="0060315B" w:rsidRDefault="0060315B" w:rsidP="005E16DB">
      <w:pPr>
        <w:rPr>
          <w:rFonts w:cs="Arial"/>
          <w:color w:val="auto"/>
          <w:sz w:val="20"/>
          <w:szCs w:val="22"/>
        </w:rPr>
      </w:pPr>
    </w:p>
    <w:p w14:paraId="029F08C3" w14:textId="0B63030C" w:rsidR="00AF1D15" w:rsidRDefault="00AF1D15" w:rsidP="00A44F57">
      <w:pPr>
        <w:jc w:val="both"/>
        <w:rPr>
          <w:rFonts w:cs="Arial"/>
        </w:rPr>
      </w:pPr>
      <w:r>
        <w:rPr>
          <w:rFonts w:cs="Arial"/>
        </w:rPr>
        <w:t>El término CF para corrientes de entrada o salida se encuentra definido por la siguiente ecuación:</w:t>
      </w:r>
    </w:p>
    <w:p w14:paraId="7078988E" w14:textId="5D817E70" w:rsidR="00AF1D15" w:rsidRDefault="00AF1D15" w:rsidP="005E16DB">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404"/>
      </w:tblGrid>
      <w:tr w:rsidR="00AF1D15" w14:paraId="6BB5142C" w14:textId="77777777" w:rsidTr="003151AF">
        <w:trPr>
          <w:trHeight w:val="490"/>
        </w:trPr>
        <w:tc>
          <w:tcPr>
            <w:tcW w:w="7987" w:type="dxa"/>
            <w:vAlign w:val="center"/>
          </w:tcPr>
          <w:p w14:paraId="649F7250" w14:textId="0FED7F5D" w:rsidR="00AF1D15" w:rsidRPr="00B27F7A" w:rsidRDefault="00606CBF" w:rsidP="003151AF">
            <w:pPr>
              <w:jc w:val="center"/>
              <w:rPr>
                <w:rFonts w:cs="Arial"/>
              </w:rPr>
            </w:pPr>
            <m:oMathPara>
              <m:oMath>
                <m:r>
                  <w:rPr>
                    <w:rFonts w:ascii="Cambria Math" w:hAnsi="Cambria Math" w:cs="Arial"/>
                  </w:rPr>
                  <m:t>CF</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e>
                </m:d>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c</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e>
                    </m:d>
                    <m:r>
                      <w:rPr>
                        <w:rFonts w:ascii="Cambria Math" w:hAnsi="Cambria Math" w:cs="Arial"/>
                      </w:rPr>
                      <m:t xml:space="preserve">* </m:t>
                    </m:r>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e>
                    </m:d>
                    <m:r>
                      <w:rPr>
                        <w:rFonts w:ascii="Cambria Math" w:hAnsi="Cambria Math" w:cs="Arial"/>
                      </w:rPr>
                      <m:t xml:space="preserve"> </m:t>
                    </m:r>
                  </m:num>
                  <m:den>
                    <m:nary>
                      <m:naryPr>
                        <m:chr m:val="∑"/>
                        <m:limLoc m:val="subSup"/>
                        <m:supHide m:val="1"/>
                        <m:ctrlPr>
                          <w:rPr>
                            <w:rFonts w:ascii="Cambria Math" w:hAnsi="Cambria Math" w:cs="Arial"/>
                            <w:i/>
                          </w:rPr>
                        </m:ctrlPr>
                      </m:naryPr>
                      <m:sub>
                        <m:r>
                          <w:rPr>
                            <w:rFonts w:ascii="Cambria Math" w:hAnsi="Cambria Math" w:cs="Arial"/>
                          </w:rPr>
                          <m:t>i</m:t>
                        </m:r>
                      </m:sub>
                      <m:sup/>
                      <m:e>
                        <m:sSub>
                          <m:sSubPr>
                            <m:ctrlPr>
                              <w:rPr>
                                <w:rFonts w:ascii="Cambria Math" w:hAnsi="Cambria Math" w:cs="Arial"/>
                                <w:i/>
                              </w:rPr>
                            </m:ctrlPr>
                          </m:sSubPr>
                          <m:e>
                            <m:r>
                              <w:rPr>
                                <w:rFonts w:ascii="Cambria Math" w:hAnsi="Cambria Math" w:cs="Arial"/>
                              </w:rPr>
                              <m:t>N</m:t>
                            </m:r>
                          </m:e>
                          <m:sub>
                            <m:r>
                              <w:rPr>
                                <w:rFonts w:ascii="Cambria Math" w:hAnsi="Cambria Math" w:cs="Arial"/>
                              </w:rPr>
                              <m:t>c</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M</m:t>
                                </m:r>
                              </m:e>
                              <m:sub>
                                <m:r>
                                  <w:rPr>
                                    <w:rFonts w:ascii="Cambria Math" w:hAnsi="Cambria Math" w:cs="Arial"/>
                                  </w:rPr>
                                  <m:t>i</m:t>
                                </m:r>
                              </m:sub>
                            </m:sSub>
                          </m:e>
                        </m:d>
                        <m:r>
                          <w:rPr>
                            <w:rFonts w:ascii="Cambria Math" w:hAnsi="Cambria Math" w:cs="Arial"/>
                          </w:rPr>
                          <m:t xml:space="preserve">* </m:t>
                        </m:r>
                      </m:e>
                    </m:nary>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M</m:t>
                            </m:r>
                          </m:e>
                          <m:sub>
                            <m:r>
                              <w:rPr>
                                <w:rFonts w:ascii="Cambria Math" w:hAnsi="Cambria Math" w:cs="Arial"/>
                              </w:rPr>
                              <m:t>i</m:t>
                            </m:r>
                          </m:sub>
                        </m:sSub>
                      </m:e>
                    </m:d>
                  </m:den>
                </m:f>
                <m:r>
                  <w:rPr>
                    <w:rFonts w:ascii="Cambria Math" w:hAnsi="Cambria Math" w:cs="Arial"/>
                  </w:rPr>
                  <m:t xml:space="preserve"> </m:t>
                </m:r>
              </m:oMath>
            </m:oMathPara>
          </w:p>
        </w:tc>
        <w:tc>
          <w:tcPr>
            <w:tcW w:w="1404" w:type="dxa"/>
            <w:vAlign w:val="center"/>
          </w:tcPr>
          <w:p w14:paraId="53F150C9" w14:textId="131C9041" w:rsidR="00AF1D15" w:rsidRPr="00F519DA" w:rsidRDefault="00AF1D15" w:rsidP="003151AF">
            <w:pPr>
              <w:jc w:val="right"/>
              <w:rPr>
                <w:b/>
                <w:bCs/>
                <w:sz w:val="20"/>
              </w:rPr>
            </w:pPr>
            <w:r w:rsidRPr="00F519DA">
              <w:rPr>
                <w:rFonts w:cs="Arial"/>
                <w:b/>
                <w:bCs/>
                <w:sz w:val="20"/>
              </w:rPr>
              <w:t xml:space="preserve">Ecuación </w:t>
            </w:r>
            <w:r w:rsidR="00606CBF">
              <w:rPr>
                <w:rFonts w:cs="Arial"/>
                <w:b/>
                <w:bCs/>
                <w:sz w:val="20"/>
              </w:rPr>
              <w:t>9</w:t>
            </w:r>
          </w:p>
        </w:tc>
      </w:tr>
    </w:tbl>
    <w:p w14:paraId="4BDC7C75" w14:textId="77777777" w:rsidR="00AF1D15" w:rsidRDefault="00AF1D15" w:rsidP="005E16DB">
      <w:pPr>
        <w:rPr>
          <w:rFonts w:cs="Arial"/>
        </w:rPr>
      </w:pPr>
    </w:p>
    <w:p w14:paraId="5E8FAE27" w14:textId="77777777" w:rsidR="00606CBF" w:rsidRDefault="00606CBF" w:rsidP="00606CBF">
      <w:pPr>
        <w:jc w:val="both"/>
        <w:rPr>
          <w:rFonts w:cs="Arial"/>
          <w:color w:val="auto"/>
          <w:szCs w:val="22"/>
        </w:rPr>
      </w:pPr>
      <w:r>
        <w:rPr>
          <w:rFonts w:cs="Arial"/>
          <w:color w:val="auto"/>
          <w:szCs w:val="22"/>
        </w:rPr>
        <w:t xml:space="preserve">Donde: </w:t>
      </w:r>
    </w:p>
    <w:p w14:paraId="49190095" w14:textId="25EDE64A" w:rsidR="00606CBF" w:rsidRDefault="00606CBF" w:rsidP="00606CBF">
      <w:pPr>
        <w:jc w:val="both"/>
        <w:rPr>
          <w:rFonts w:cs="Arial"/>
          <w:color w:val="auto"/>
          <w:sz w:val="20"/>
          <w:szCs w:val="22"/>
        </w:rPr>
      </w:pPr>
      <m:oMath>
        <m:r>
          <w:rPr>
            <w:rFonts w:ascii="Cambria Math" w:hAnsi="Cambria Math" w:cs="Arial"/>
          </w:rPr>
          <m:t>CF</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e>
        </m:d>
      </m:oMath>
      <w:r w:rsidRPr="00CA05EE">
        <w:rPr>
          <w:rFonts w:cs="Arial"/>
          <w:color w:val="auto"/>
          <w:sz w:val="20"/>
          <w:szCs w:val="22"/>
        </w:rPr>
        <w:t xml:space="preserve"> = </w:t>
      </w:r>
      <w:r>
        <w:rPr>
          <w:rFonts w:cs="Arial"/>
          <w:color w:val="auto"/>
          <w:sz w:val="20"/>
          <w:szCs w:val="22"/>
        </w:rPr>
        <w:t>Corriente de entrada o salida para metano;</w:t>
      </w:r>
    </w:p>
    <w:p w14:paraId="5F383BFA" w14:textId="2EDF7D91" w:rsidR="00606CBF" w:rsidRDefault="00AB45E0" w:rsidP="00606CBF">
      <w:pPr>
        <w:jc w:val="both"/>
        <w:rPr>
          <w:rFonts w:cs="Arial"/>
          <w:color w:val="auto"/>
          <w:sz w:val="20"/>
          <w:szCs w:val="22"/>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c</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e>
        </m:d>
      </m:oMath>
      <w:r w:rsidR="00606CBF" w:rsidRPr="00CA05EE">
        <w:rPr>
          <w:rFonts w:cs="Arial"/>
          <w:color w:val="auto"/>
          <w:sz w:val="20"/>
          <w:szCs w:val="22"/>
        </w:rPr>
        <w:t xml:space="preserve">= </w:t>
      </w:r>
      <w:r w:rsidR="00BB2A40">
        <w:rPr>
          <w:rFonts w:cs="Arial"/>
          <w:color w:val="auto"/>
          <w:sz w:val="20"/>
          <w:szCs w:val="22"/>
        </w:rPr>
        <w:t>Número de átomos de carbono en el metano, 1</w:t>
      </w:r>
      <w:r w:rsidR="00606CBF">
        <w:rPr>
          <w:rFonts w:cs="Arial"/>
          <w:color w:val="auto"/>
          <w:sz w:val="20"/>
          <w:szCs w:val="22"/>
        </w:rPr>
        <w:t>;</w:t>
      </w:r>
    </w:p>
    <w:p w14:paraId="0B61DC96" w14:textId="54D81887" w:rsidR="00606CBF" w:rsidRDefault="00AB45E0" w:rsidP="00606CBF">
      <w:pPr>
        <w:jc w:val="both"/>
        <w:rPr>
          <w:rFonts w:cs="Arial"/>
          <w:color w:val="auto"/>
          <w:sz w:val="20"/>
          <w:szCs w:val="22"/>
        </w:rPr>
      </w:pPr>
      <m:oMath>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e>
        </m:d>
      </m:oMath>
      <w:r w:rsidR="00606CBF" w:rsidRPr="00CA05EE">
        <w:rPr>
          <w:rFonts w:cs="Arial"/>
          <w:color w:val="auto"/>
          <w:sz w:val="20"/>
          <w:szCs w:val="22"/>
        </w:rPr>
        <w:t xml:space="preserve">= </w:t>
      </w:r>
      <w:r w:rsidR="00BB2A40">
        <w:rPr>
          <w:rFonts w:cs="Arial"/>
          <w:color w:val="auto"/>
          <w:sz w:val="20"/>
          <w:szCs w:val="22"/>
        </w:rPr>
        <w:t>Concentración molar de metano en la corriente</w:t>
      </w:r>
      <w:r w:rsidR="00606CBF">
        <w:rPr>
          <w:rFonts w:cs="Arial"/>
          <w:color w:val="auto"/>
          <w:sz w:val="20"/>
          <w:szCs w:val="22"/>
        </w:rPr>
        <w:t>;</w:t>
      </w:r>
    </w:p>
    <w:p w14:paraId="6DA21660" w14:textId="7F4C95F8" w:rsidR="00BB2A40" w:rsidRDefault="00AB45E0" w:rsidP="00BB2A40">
      <w:pPr>
        <w:jc w:val="both"/>
        <w:rPr>
          <w:rFonts w:cs="Arial"/>
          <w:color w:val="auto"/>
          <w:sz w:val="20"/>
          <w:szCs w:val="22"/>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c</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M</m:t>
                </m:r>
              </m:e>
              <m:sub>
                <m:r>
                  <w:rPr>
                    <w:rFonts w:ascii="Cambria Math" w:hAnsi="Cambria Math" w:cs="Arial"/>
                  </w:rPr>
                  <m:t>i</m:t>
                </m:r>
              </m:sub>
            </m:sSub>
          </m:e>
        </m:d>
      </m:oMath>
      <w:r w:rsidR="00BB2A40" w:rsidRPr="00CA05EE">
        <w:rPr>
          <w:rFonts w:cs="Arial"/>
          <w:color w:val="auto"/>
          <w:sz w:val="20"/>
          <w:szCs w:val="22"/>
        </w:rPr>
        <w:t xml:space="preserve">= </w:t>
      </w:r>
      <w:r w:rsidR="00BB2A40">
        <w:rPr>
          <w:rFonts w:cs="Arial"/>
          <w:color w:val="auto"/>
          <w:sz w:val="20"/>
          <w:szCs w:val="22"/>
        </w:rPr>
        <w:t>Número de carbonos de cada molécula de la especie i, incluyendo el metano;</w:t>
      </w:r>
    </w:p>
    <w:p w14:paraId="0131C6BE" w14:textId="7F1C6B73" w:rsidR="00BB2A40" w:rsidRDefault="00AB45E0" w:rsidP="00606CBF">
      <w:pPr>
        <w:jc w:val="both"/>
        <w:rPr>
          <w:rFonts w:cs="Arial"/>
          <w:color w:val="auto"/>
          <w:sz w:val="20"/>
          <w:szCs w:val="22"/>
        </w:rPr>
      </w:pPr>
      <m:oMath>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M</m:t>
                </m:r>
              </m:e>
              <m:sub>
                <m:r>
                  <w:rPr>
                    <w:rFonts w:ascii="Cambria Math" w:hAnsi="Cambria Math" w:cs="Arial"/>
                  </w:rPr>
                  <m:t>i</m:t>
                </m:r>
              </m:sub>
            </m:sSub>
          </m:e>
        </m:d>
      </m:oMath>
      <w:r w:rsidR="00BB2A40">
        <w:rPr>
          <w:rFonts w:cs="Arial"/>
        </w:rPr>
        <w:t xml:space="preserve">= </w:t>
      </w:r>
      <w:r w:rsidR="00BB2A40">
        <w:rPr>
          <w:rFonts w:cs="Arial"/>
          <w:color w:val="auto"/>
          <w:sz w:val="20"/>
          <w:szCs w:val="22"/>
        </w:rPr>
        <w:t>Concentración molar de la especie i, incluyendo el metano.</w:t>
      </w:r>
    </w:p>
    <w:p w14:paraId="28BEFB88" w14:textId="77777777" w:rsidR="00BB2A40" w:rsidRDefault="00BB2A40" w:rsidP="00606CBF">
      <w:pPr>
        <w:jc w:val="both"/>
        <w:rPr>
          <w:rFonts w:cs="Arial"/>
          <w:color w:val="auto"/>
          <w:sz w:val="20"/>
          <w:szCs w:val="22"/>
        </w:rPr>
      </w:pPr>
    </w:p>
    <w:p w14:paraId="02EF110A" w14:textId="77777777" w:rsidR="00AF1D15" w:rsidRDefault="00AF1D15" w:rsidP="005E16DB">
      <w:pPr>
        <w:rPr>
          <w:rFonts w:cs="Arial"/>
        </w:rPr>
      </w:pPr>
    </w:p>
    <w:p w14:paraId="5539A107" w14:textId="211F8F9B" w:rsidR="001F5326" w:rsidRDefault="00BE789B" w:rsidP="00BE789B">
      <w:pPr>
        <w:jc w:val="both"/>
        <w:rPr>
          <w:rFonts w:cs="Arial"/>
        </w:rPr>
      </w:pPr>
      <w:r w:rsidRPr="00BE789B">
        <w:rPr>
          <w:rFonts w:cs="Arial"/>
        </w:rPr>
        <w:t xml:space="preserve">Como se ha expuesto en las ecuaciones anteriores, para la determinación de CE y DRE es necesario determinar </w:t>
      </w:r>
      <w:r w:rsidR="00954D65">
        <w:rPr>
          <w:rFonts w:cs="Arial"/>
        </w:rPr>
        <w:t xml:space="preserve">las </w:t>
      </w:r>
      <w:r w:rsidRPr="00BE789B">
        <w:rPr>
          <w:rFonts w:cs="Arial"/>
        </w:rPr>
        <w:t>concentraciones del compuesto de interé</w:t>
      </w:r>
      <w:r>
        <w:rPr>
          <w:rFonts w:cs="Arial"/>
        </w:rPr>
        <w:t xml:space="preserve">s </w:t>
      </w:r>
      <w:r w:rsidRPr="00BE789B">
        <w:rPr>
          <w:rFonts w:cs="Arial"/>
        </w:rPr>
        <w:t>después de la reacción de combustión, asumiendo que la composición del gas alimentado se conoce con anterioridad.</w:t>
      </w:r>
    </w:p>
    <w:p w14:paraId="223CFB04" w14:textId="77777777" w:rsidR="00AF1DE6" w:rsidRDefault="00AF1DE6" w:rsidP="00BE789B">
      <w:pPr>
        <w:jc w:val="both"/>
        <w:rPr>
          <w:rFonts w:cs="Arial"/>
        </w:rPr>
      </w:pPr>
    </w:p>
    <w:p w14:paraId="2C07278F" w14:textId="4E277504" w:rsidR="00AF1DE6" w:rsidRDefault="005C3B8B" w:rsidP="00BE789B">
      <w:pPr>
        <w:jc w:val="both"/>
        <w:rPr>
          <w:rFonts w:cs="Arial"/>
        </w:rPr>
      </w:pPr>
      <w:r>
        <w:rPr>
          <w:rFonts w:cs="Arial"/>
        </w:rPr>
        <w:t>A continuación</w:t>
      </w:r>
      <w:r w:rsidR="00AF1DE6" w:rsidRPr="0037034F">
        <w:rPr>
          <w:rFonts w:cs="Arial"/>
        </w:rPr>
        <w:t xml:space="preserve">, se presenta </w:t>
      </w:r>
      <w:r w:rsidR="00954D65">
        <w:rPr>
          <w:rFonts w:cs="Arial"/>
        </w:rPr>
        <w:t xml:space="preserve">el </w:t>
      </w:r>
      <w:r>
        <w:rPr>
          <w:rFonts w:cs="Arial"/>
        </w:rPr>
        <w:t>árbol de decisión para determinar CE</w:t>
      </w:r>
      <w:r w:rsidR="004D1DA4">
        <w:rPr>
          <w:rFonts w:cs="Arial"/>
        </w:rPr>
        <w:t xml:space="preserve"> </w:t>
      </w:r>
      <w:r w:rsidR="004762BE">
        <w:rPr>
          <w:rFonts w:cs="Arial"/>
        </w:rPr>
        <w:t>y</w:t>
      </w:r>
      <w:r w:rsidR="004D1DA4">
        <w:rPr>
          <w:rFonts w:cs="Arial"/>
        </w:rPr>
        <w:t xml:space="preserve"> </w:t>
      </w:r>
      <w:r>
        <w:rPr>
          <w:rFonts w:cs="Arial"/>
        </w:rPr>
        <w:t>DRE</w:t>
      </w:r>
      <w:r w:rsidR="00AF1DE6" w:rsidRPr="0037034F">
        <w:rPr>
          <w:rFonts w:cs="Arial"/>
        </w:rPr>
        <w:t>, acorde con la disponibilidad de información.</w:t>
      </w:r>
    </w:p>
    <w:p w14:paraId="18312CB1" w14:textId="318C53F9" w:rsidR="001F5326" w:rsidRDefault="001F5326" w:rsidP="005E16DB">
      <w:pPr>
        <w:rPr>
          <w:rFonts w:cs="Arial"/>
        </w:rPr>
      </w:pPr>
    </w:p>
    <w:p w14:paraId="64FB9BDA" w14:textId="1C4242F2" w:rsidR="003151AF" w:rsidRDefault="003151AF" w:rsidP="005E16DB">
      <w:pPr>
        <w:rPr>
          <w:rFonts w:cs="Arial"/>
        </w:rPr>
      </w:pPr>
    </w:p>
    <w:p w14:paraId="350EF0CB" w14:textId="2E070DE9" w:rsidR="003151AF" w:rsidRDefault="0037034F" w:rsidP="0037034F">
      <w:pPr>
        <w:jc w:val="center"/>
        <w:rPr>
          <w:rFonts w:cs="Arial"/>
        </w:rPr>
      </w:pPr>
      <w:r>
        <w:rPr>
          <w:rFonts w:cs="Arial"/>
          <w:noProof/>
        </w:rPr>
        <w:drawing>
          <wp:inline distT="0" distB="0" distL="0" distR="0" wp14:anchorId="5FAD7DB5" wp14:editId="05B27FA2">
            <wp:extent cx="5981700" cy="32238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C105C.tmp"/>
                    <pic:cNvPicPr/>
                  </pic:nvPicPr>
                  <pic:blipFill>
                    <a:blip r:embed="rId11">
                      <a:extLst>
                        <a:ext uri="{28A0092B-C50C-407E-A947-70E740481C1C}">
                          <a14:useLocalDpi xmlns:a14="http://schemas.microsoft.com/office/drawing/2010/main" val="0"/>
                        </a:ext>
                      </a:extLst>
                    </a:blip>
                    <a:stretch>
                      <a:fillRect/>
                    </a:stretch>
                  </pic:blipFill>
                  <pic:spPr>
                    <a:xfrm>
                      <a:off x="0" y="0"/>
                      <a:ext cx="5981700" cy="3223895"/>
                    </a:xfrm>
                    <a:prstGeom prst="rect">
                      <a:avLst/>
                    </a:prstGeom>
                  </pic:spPr>
                </pic:pic>
              </a:graphicData>
            </a:graphic>
          </wp:inline>
        </w:drawing>
      </w:r>
    </w:p>
    <w:p w14:paraId="4F6AF69C" w14:textId="40AD0FC1" w:rsidR="00AF1DE6" w:rsidRPr="00AF1DE6" w:rsidRDefault="00AF1DE6" w:rsidP="00AF1DE6">
      <w:pPr>
        <w:jc w:val="center"/>
        <w:rPr>
          <w:rFonts w:cs="Arial"/>
          <w:sz w:val="18"/>
          <w:szCs w:val="18"/>
        </w:rPr>
      </w:pPr>
      <w:r w:rsidRPr="00AF1DE6">
        <w:rPr>
          <w:rFonts w:cs="Arial"/>
          <w:b/>
          <w:sz w:val="18"/>
          <w:szCs w:val="18"/>
        </w:rPr>
        <w:t>Gráfico 1</w:t>
      </w:r>
      <w:r w:rsidRPr="00AF1DE6">
        <w:rPr>
          <w:rFonts w:cs="Arial"/>
          <w:sz w:val="18"/>
          <w:szCs w:val="18"/>
        </w:rPr>
        <w:t xml:space="preserve">. </w:t>
      </w:r>
      <w:r w:rsidR="005C3B8B">
        <w:rPr>
          <w:rFonts w:cs="Arial"/>
          <w:sz w:val="18"/>
          <w:szCs w:val="18"/>
        </w:rPr>
        <w:t>Árbol de decisión para determinar CE y</w:t>
      </w:r>
      <w:r w:rsidR="0037034F">
        <w:rPr>
          <w:rFonts w:cs="Arial"/>
          <w:sz w:val="18"/>
          <w:szCs w:val="18"/>
        </w:rPr>
        <w:t xml:space="preserve"> </w:t>
      </w:r>
      <w:r w:rsidRPr="00AF1DE6">
        <w:rPr>
          <w:rFonts w:cs="Arial"/>
          <w:sz w:val="18"/>
          <w:szCs w:val="18"/>
        </w:rPr>
        <w:t>DRE</w:t>
      </w:r>
      <w:r w:rsidR="005C3B8B">
        <w:rPr>
          <w:rFonts w:cs="Arial"/>
          <w:sz w:val="18"/>
          <w:szCs w:val="18"/>
        </w:rPr>
        <w:t>.</w:t>
      </w:r>
    </w:p>
    <w:p w14:paraId="7E1FE262" w14:textId="0546938D" w:rsidR="003151AF" w:rsidRPr="00AF1DE6" w:rsidRDefault="003151AF" w:rsidP="00AF1DE6">
      <w:pPr>
        <w:jc w:val="center"/>
        <w:rPr>
          <w:rFonts w:cs="Arial"/>
          <w:sz w:val="18"/>
          <w:szCs w:val="18"/>
        </w:rPr>
      </w:pPr>
    </w:p>
    <w:p w14:paraId="371CEB08" w14:textId="3EA59ABA" w:rsidR="003B6390" w:rsidRPr="00474CD3" w:rsidRDefault="003B6390" w:rsidP="00474CD3">
      <w:pPr>
        <w:pStyle w:val="Ttulo1"/>
        <w:numPr>
          <w:ilvl w:val="0"/>
          <w:numId w:val="5"/>
        </w:numPr>
        <w:rPr>
          <w:rFonts w:cs="Arial"/>
        </w:rPr>
      </w:pPr>
      <w:bookmarkStart w:id="39" w:name="_Toc145672305"/>
      <w:bookmarkStart w:id="40" w:name="_Toc138340219"/>
      <w:r w:rsidRPr="00474CD3">
        <w:rPr>
          <w:rFonts w:cs="Arial"/>
        </w:rPr>
        <w:t>METODOLOGÍA DE EVALUACIÓN DE EFICIENCIA DE COMBUSTIÓN EN TEA</w:t>
      </w:r>
      <w:bookmarkEnd w:id="39"/>
    </w:p>
    <w:p w14:paraId="722DA9AF" w14:textId="5CD38FCA" w:rsidR="003B6390" w:rsidRDefault="003B6390" w:rsidP="003B6390"/>
    <w:p w14:paraId="0353162F" w14:textId="3E108737" w:rsidR="0081493F" w:rsidRDefault="0081493F" w:rsidP="0081493F">
      <w:pPr>
        <w:pStyle w:val="Ttulo2"/>
        <w:numPr>
          <w:ilvl w:val="1"/>
          <w:numId w:val="5"/>
        </w:numPr>
      </w:pPr>
      <w:bookmarkStart w:id="41" w:name="_Toc145672306"/>
      <w:r>
        <w:t>Metodología Directa</w:t>
      </w:r>
      <w:bookmarkEnd w:id="41"/>
    </w:p>
    <w:p w14:paraId="1B20266B" w14:textId="77777777" w:rsidR="003151AF" w:rsidRPr="003151AF" w:rsidRDefault="003151AF" w:rsidP="003151AF"/>
    <w:p w14:paraId="3B4023E8" w14:textId="72918F5E" w:rsidR="003B6390" w:rsidRDefault="003B6390" w:rsidP="003B6390">
      <w:pPr>
        <w:jc w:val="both"/>
        <w:rPr>
          <w:rFonts w:cs="Arial"/>
        </w:rPr>
      </w:pPr>
      <w:r w:rsidRPr="003B6390">
        <w:rPr>
          <w:rFonts w:cs="Arial"/>
        </w:rPr>
        <w:lastRenderedPageBreak/>
        <w:t>La determinación de la evaluación de la eficiencia de combustión puede ser realizada utilizando métodos directos que incluyen metodologías como las descritas a continuación, sin limitarse a estas</w:t>
      </w:r>
      <w:r>
        <w:rPr>
          <w:rFonts w:cs="Arial"/>
        </w:rPr>
        <w:t>:</w:t>
      </w:r>
    </w:p>
    <w:p w14:paraId="5535F87E" w14:textId="77777777" w:rsidR="003151AF" w:rsidRDefault="003151AF" w:rsidP="003B6390">
      <w:pPr>
        <w:jc w:val="both"/>
        <w:rPr>
          <w:rFonts w:cs="Arial"/>
        </w:rPr>
      </w:pPr>
    </w:p>
    <w:p w14:paraId="69704F27" w14:textId="303FA085" w:rsidR="003B6390" w:rsidRPr="003B6390" w:rsidRDefault="003B6390" w:rsidP="003B6390">
      <w:pPr>
        <w:pStyle w:val="Prrafodelista"/>
        <w:numPr>
          <w:ilvl w:val="0"/>
          <w:numId w:val="29"/>
        </w:numPr>
        <w:rPr>
          <w:rFonts w:cs="Arial"/>
        </w:rPr>
      </w:pPr>
      <w:r w:rsidRPr="003B6390">
        <w:rPr>
          <w:rFonts w:cs="Arial"/>
        </w:rPr>
        <w:t xml:space="preserve">Tecnología de Imágenes Infrarrojas </w:t>
      </w:r>
      <w:proofErr w:type="spellStart"/>
      <w:r w:rsidRPr="003B6390">
        <w:rPr>
          <w:rFonts w:cs="Arial"/>
        </w:rPr>
        <w:t>Hiperespectrales</w:t>
      </w:r>
      <w:proofErr w:type="spellEnd"/>
      <w:r w:rsidR="00F869C2">
        <w:rPr>
          <w:rFonts w:cs="Arial"/>
        </w:rPr>
        <w:t>:</w:t>
      </w:r>
      <w:r>
        <w:rPr>
          <w:rFonts w:cs="Arial"/>
        </w:rPr>
        <w:t xml:space="preserve"> </w:t>
      </w:r>
      <w:r w:rsidR="00F869C2">
        <w:rPr>
          <w:rFonts w:cs="Arial"/>
        </w:rPr>
        <w:t>i</w:t>
      </w:r>
      <w:r w:rsidRPr="003B6390">
        <w:rPr>
          <w:rFonts w:cs="Arial"/>
        </w:rPr>
        <w:t>dentifica las especies de la pluma de hidrocarburos de la antorcha y determin</w:t>
      </w:r>
      <w:r>
        <w:rPr>
          <w:rFonts w:cs="Arial"/>
        </w:rPr>
        <w:t xml:space="preserve">a </w:t>
      </w:r>
      <w:r w:rsidRPr="003B6390">
        <w:rPr>
          <w:rFonts w:cs="Arial"/>
        </w:rPr>
        <w:t>las concentraciones de estas especies en la pluma.</w:t>
      </w:r>
    </w:p>
    <w:p w14:paraId="149975CB" w14:textId="13FDE2EA" w:rsidR="003B6390" w:rsidRPr="003B6390" w:rsidRDefault="003B6390" w:rsidP="003B6390">
      <w:pPr>
        <w:pStyle w:val="Prrafodelista"/>
        <w:numPr>
          <w:ilvl w:val="0"/>
          <w:numId w:val="29"/>
        </w:numPr>
        <w:rPr>
          <w:rFonts w:cs="Arial"/>
        </w:rPr>
      </w:pPr>
      <w:r w:rsidRPr="003B6390">
        <w:rPr>
          <w:rFonts w:cs="Arial"/>
        </w:rPr>
        <w:t xml:space="preserve">Espectroscopia Infrarroja de Transformada de Fourier (PFTIR, AFTIR) Pasiva y/o Activa:  </w:t>
      </w:r>
      <w:r w:rsidR="00F44F5A">
        <w:rPr>
          <w:rFonts w:cs="Arial"/>
        </w:rPr>
        <w:t>r</w:t>
      </w:r>
      <w:r w:rsidRPr="003B6390">
        <w:rPr>
          <w:rFonts w:cs="Arial"/>
        </w:rPr>
        <w:t xml:space="preserve">ecopila los datos necesarios para determinar la eficiencia de combustión de la </w:t>
      </w:r>
      <w:r>
        <w:rPr>
          <w:rFonts w:cs="Arial"/>
        </w:rPr>
        <w:t>Tea</w:t>
      </w:r>
      <w:r w:rsidRPr="003B6390">
        <w:rPr>
          <w:rFonts w:cs="Arial"/>
        </w:rPr>
        <w:t>.</w:t>
      </w:r>
    </w:p>
    <w:p w14:paraId="5E48B26E" w14:textId="532C67EF" w:rsidR="003B6390" w:rsidRPr="003B6390" w:rsidRDefault="003B6390" w:rsidP="003B6390">
      <w:pPr>
        <w:pStyle w:val="Prrafodelista"/>
        <w:numPr>
          <w:ilvl w:val="0"/>
          <w:numId w:val="29"/>
        </w:numPr>
        <w:rPr>
          <w:rFonts w:cs="Arial"/>
        </w:rPr>
      </w:pPr>
      <w:r w:rsidRPr="003B6390">
        <w:rPr>
          <w:rFonts w:cs="Arial"/>
        </w:rPr>
        <w:t xml:space="preserve">Cámaras Infrarrojas Pasivas FLIR </w:t>
      </w:r>
      <w:proofErr w:type="spellStart"/>
      <w:r w:rsidRPr="003B6390">
        <w:rPr>
          <w:rFonts w:cs="Arial"/>
        </w:rPr>
        <w:t>GasFindIR</w:t>
      </w:r>
      <w:proofErr w:type="spellEnd"/>
      <w:r w:rsidRPr="003B6390">
        <w:rPr>
          <w:rFonts w:cs="Arial"/>
        </w:rPr>
        <w:t xml:space="preserve">: </w:t>
      </w:r>
      <w:r w:rsidR="00F44F5A">
        <w:rPr>
          <w:rFonts w:cs="Arial"/>
        </w:rPr>
        <w:t>p</w:t>
      </w:r>
      <w:r w:rsidRPr="003B6390">
        <w:rPr>
          <w:rFonts w:cs="Arial"/>
        </w:rPr>
        <w:t xml:space="preserve">roporciona comparación visual de imágenes infrarrojas con los resultados de la tecnología de imágenes infrarrojas </w:t>
      </w:r>
      <w:proofErr w:type="spellStart"/>
      <w:r w:rsidRPr="003B6390">
        <w:rPr>
          <w:rFonts w:cs="Arial"/>
        </w:rPr>
        <w:t>hiperespectrales</w:t>
      </w:r>
      <w:proofErr w:type="spellEnd"/>
      <w:r w:rsidRPr="003B6390">
        <w:rPr>
          <w:rFonts w:cs="Arial"/>
        </w:rPr>
        <w:t xml:space="preserve"> y ayuda</w:t>
      </w:r>
      <w:r>
        <w:rPr>
          <w:rFonts w:cs="Arial"/>
        </w:rPr>
        <w:t xml:space="preserve"> </w:t>
      </w:r>
      <w:r w:rsidRPr="003B6390">
        <w:rPr>
          <w:rFonts w:cs="Arial"/>
        </w:rPr>
        <w:t>a otras herramientas de detección remota a tomar mediciones.</w:t>
      </w:r>
    </w:p>
    <w:p w14:paraId="25F1FCF4" w14:textId="66C33355" w:rsidR="003B6390" w:rsidRPr="003C02B1" w:rsidRDefault="003B6390" w:rsidP="003B6390">
      <w:pPr>
        <w:pStyle w:val="Prrafodelista"/>
        <w:numPr>
          <w:ilvl w:val="0"/>
          <w:numId w:val="29"/>
        </w:numPr>
        <w:rPr>
          <w:rFonts w:cs="Arial"/>
          <w:lang w:val="en-US"/>
        </w:rPr>
      </w:pPr>
      <w:r w:rsidRPr="003C02B1">
        <w:rPr>
          <w:rFonts w:cs="Arial"/>
          <w:lang w:val="en-US"/>
        </w:rPr>
        <w:t>Passive optical gas measurement systems</w:t>
      </w:r>
      <w:r w:rsidR="00A75583" w:rsidRPr="003C02B1">
        <w:rPr>
          <w:rFonts w:cs="Arial"/>
          <w:lang w:val="en-US"/>
        </w:rPr>
        <w:t>.</w:t>
      </w:r>
    </w:p>
    <w:p w14:paraId="4F81F20F" w14:textId="69953D56" w:rsidR="003B6390" w:rsidRPr="003B6390" w:rsidRDefault="003B6390" w:rsidP="003B6390">
      <w:pPr>
        <w:pStyle w:val="Prrafodelista"/>
        <w:numPr>
          <w:ilvl w:val="0"/>
          <w:numId w:val="29"/>
        </w:numPr>
        <w:rPr>
          <w:rFonts w:cs="Arial"/>
        </w:rPr>
      </w:pPr>
      <w:r w:rsidRPr="003B6390">
        <w:rPr>
          <w:rFonts w:cs="Arial"/>
        </w:rPr>
        <w:t xml:space="preserve">Video </w:t>
      </w:r>
      <w:proofErr w:type="spellStart"/>
      <w:r w:rsidRPr="003B6390">
        <w:rPr>
          <w:rFonts w:cs="Arial"/>
        </w:rPr>
        <w:t>Imaging</w:t>
      </w:r>
      <w:proofErr w:type="spellEnd"/>
      <w:r w:rsidRPr="003B6390">
        <w:rPr>
          <w:rFonts w:cs="Arial"/>
        </w:rPr>
        <w:t xml:space="preserve"> </w:t>
      </w:r>
      <w:proofErr w:type="spellStart"/>
      <w:r w:rsidRPr="003B6390">
        <w:rPr>
          <w:rFonts w:cs="Arial"/>
        </w:rPr>
        <w:t>Spectral</w:t>
      </w:r>
      <w:proofErr w:type="spellEnd"/>
      <w:r w:rsidRPr="003B6390">
        <w:rPr>
          <w:rFonts w:cs="Arial"/>
        </w:rPr>
        <w:t xml:space="preserve"> </w:t>
      </w:r>
      <w:proofErr w:type="spellStart"/>
      <w:r w:rsidRPr="003B6390">
        <w:rPr>
          <w:rFonts w:cs="Arial"/>
        </w:rPr>
        <w:t>Radiometry</w:t>
      </w:r>
      <w:proofErr w:type="spellEnd"/>
      <w:r w:rsidRPr="003B6390">
        <w:rPr>
          <w:rFonts w:cs="Arial"/>
        </w:rPr>
        <w:t xml:space="preserve"> (VISR)</w:t>
      </w:r>
      <w:r w:rsidR="00A75583">
        <w:rPr>
          <w:rFonts w:cs="Arial"/>
        </w:rPr>
        <w:t>.</w:t>
      </w:r>
      <w:r w:rsidRPr="003B6390">
        <w:rPr>
          <w:rFonts w:cs="Arial"/>
        </w:rPr>
        <w:t xml:space="preserve"> </w:t>
      </w:r>
    </w:p>
    <w:p w14:paraId="473005FC" w14:textId="1D5EF6F1" w:rsidR="003B6390" w:rsidRPr="003B6390" w:rsidRDefault="003B6390" w:rsidP="003B6390">
      <w:pPr>
        <w:pStyle w:val="Prrafodelista"/>
        <w:numPr>
          <w:ilvl w:val="0"/>
          <w:numId w:val="29"/>
        </w:numPr>
        <w:rPr>
          <w:rFonts w:cs="Arial"/>
        </w:rPr>
      </w:pPr>
      <w:r w:rsidRPr="003B6390">
        <w:rPr>
          <w:rFonts w:cs="Arial"/>
        </w:rPr>
        <w:t>Open-</w:t>
      </w:r>
      <w:proofErr w:type="spellStart"/>
      <w:r w:rsidRPr="003B6390">
        <w:rPr>
          <w:rFonts w:cs="Arial"/>
        </w:rPr>
        <w:t>Path</w:t>
      </w:r>
      <w:proofErr w:type="spellEnd"/>
      <w:r w:rsidRPr="003B6390">
        <w:rPr>
          <w:rFonts w:cs="Arial"/>
        </w:rPr>
        <w:t xml:space="preserve"> OP-FTIR</w:t>
      </w:r>
      <w:r w:rsidR="00A75583">
        <w:rPr>
          <w:rFonts w:cs="Arial"/>
        </w:rPr>
        <w:t>.</w:t>
      </w:r>
      <w:r w:rsidRPr="003B6390">
        <w:rPr>
          <w:rFonts w:cs="Arial"/>
        </w:rPr>
        <w:t xml:space="preserve"> </w:t>
      </w:r>
    </w:p>
    <w:p w14:paraId="18627AE7" w14:textId="5F344833" w:rsidR="003B6390" w:rsidRPr="003B6390" w:rsidRDefault="003B6390" w:rsidP="003B6390">
      <w:pPr>
        <w:pStyle w:val="Prrafodelista"/>
        <w:numPr>
          <w:ilvl w:val="0"/>
          <w:numId w:val="29"/>
        </w:numPr>
        <w:rPr>
          <w:rFonts w:cs="Arial"/>
        </w:rPr>
      </w:pPr>
      <w:proofErr w:type="spellStart"/>
      <w:r w:rsidRPr="003B6390">
        <w:rPr>
          <w:rFonts w:cs="Arial"/>
        </w:rPr>
        <w:t>Differential</w:t>
      </w:r>
      <w:proofErr w:type="spellEnd"/>
      <w:r w:rsidRPr="003B6390">
        <w:rPr>
          <w:rFonts w:cs="Arial"/>
        </w:rPr>
        <w:t xml:space="preserve"> </w:t>
      </w:r>
      <w:proofErr w:type="spellStart"/>
      <w:r w:rsidRPr="003B6390">
        <w:rPr>
          <w:rFonts w:cs="Arial"/>
        </w:rPr>
        <w:t>Absorption</w:t>
      </w:r>
      <w:proofErr w:type="spellEnd"/>
      <w:r w:rsidRPr="003B6390">
        <w:rPr>
          <w:rFonts w:cs="Arial"/>
        </w:rPr>
        <w:t xml:space="preserve"> </w:t>
      </w:r>
      <w:proofErr w:type="spellStart"/>
      <w:r w:rsidRPr="003B6390">
        <w:rPr>
          <w:rFonts w:cs="Arial"/>
        </w:rPr>
        <w:t>Lidar</w:t>
      </w:r>
      <w:proofErr w:type="spellEnd"/>
      <w:r w:rsidRPr="003B6390">
        <w:rPr>
          <w:rFonts w:cs="Arial"/>
        </w:rPr>
        <w:t xml:space="preserve"> (DIAL)</w:t>
      </w:r>
      <w:r w:rsidR="00A75583">
        <w:rPr>
          <w:rFonts w:cs="Arial"/>
        </w:rPr>
        <w:t>.</w:t>
      </w:r>
    </w:p>
    <w:p w14:paraId="5DB7EE2B" w14:textId="4E3656D2" w:rsidR="003B6390" w:rsidRDefault="003B6390" w:rsidP="003B6390">
      <w:pPr>
        <w:pStyle w:val="Prrafodelista"/>
        <w:numPr>
          <w:ilvl w:val="0"/>
          <w:numId w:val="29"/>
        </w:numPr>
        <w:rPr>
          <w:rFonts w:cs="Arial"/>
        </w:rPr>
      </w:pPr>
      <w:r w:rsidRPr="003B6390">
        <w:rPr>
          <w:rFonts w:cs="Arial"/>
        </w:rPr>
        <w:t>Métodos estacionarios, recolección de gases de exosto y posterior análisis.</w:t>
      </w:r>
    </w:p>
    <w:p w14:paraId="15AD82A5" w14:textId="716ECFAA" w:rsidR="003151AF" w:rsidRDefault="003151AF" w:rsidP="003151AF">
      <w:pPr>
        <w:rPr>
          <w:rFonts w:cs="Arial"/>
        </w:rPr>
      </w:pPr>
    </w:p>
    <w:p w14:paraId="432198F4" w14:textId="77777777" w:rsidR="003151AF" w:rsidRPr="003151AF" w:rsidRDefault="003151AF" w:rsidP="003151AF">
      <w:pPr>
        <w:rPr>
          <w:rFonts w:cs="Arial"/>
        </w:rPr>
      </w:pPr>
    </w:p>
    <w:p w14:paraId="030B782D" w14:textId="19F92DC3" w:rsidR="003B6390" w:rsidRPr="00CB360C" w:rsidRDefault="00CB360C" w:rsidP="00CB360C">
      <w:pPr>
        <w:pStyle w:val="Ttulo2"/>
        <w:numPr>
          <w:ilvl w:val="1"/>
          <w:numId w:val="5"/>
        </w:numPr>
      </w:pPr>
      <w:bookmarkStart w:id="42" w:name="_Toc145672307"/>
      <w:r>
        <w:t>Metodología Indirecta</w:t>
      </w:r>
      <w:bookmarkEnd w:id="42"/>
    </w:p>
    <w:p w14:paraId="6BD8264E" w14:textId="7D6DEFBC" w:rsidR="003B6390" w:rsidRDefault="003151AF" w:rsidP="003B6390">
      <w:pPr>
        <w:jc w:val="both"/>
        <w:rPr>
          <w:rFonts w:cs="Arial"/>
        </w:rPr>
      </w:pPr>
      <w:r w:rsidRPr="003151AF">
        <w:rPr>
          <w:rFonts w:cs="Arial"/>
        </w:rPr>
        <w:t>Excepcionalmente</w:t>
      </w:r>
      <w:r w:rsidR="00F44F5A">
        <w:rPr>
          <w:rFonts w:cs="Arial"/>
        </w:rPr>
        <w:t xml:space="preserve"> la</w:t>
      </w:r>
      <w:r w:rsidR="004E7BA7">
        <w:rPr>
          <w:rFonts w:cs="Arial"/>
        </w:rPr>
        <w:t>s</w:t>
      </w:r>
      <w:r w:rsidR="00F44F5A">
        <w:rPr>
          <w:rFonts w:cs="Arial"/>
        </w:rPr>
        <w:t xml:space="preserve"> O</w:t>
      </w:r>
      <w:r w:rsidRPr="003151AF">
        <w:rPr>
          <w:rFonts w:cs="Arial"/>
        </w:rPr>
        <w:t>perador</w:t>
      </w:r>
      <w:r w:rsidR="00F44F5A">
        <w:rPr>
          <w:rFonts w:cs="Arial"/>
        </w:rPr>
        <w:t>a</w:t>
      </w:r>
      <w:r w:rsidR="004E7BA7">
        <w:rPr>
          <w:rFonts w:cs="Arial"/>
        </w:rPr>
        <w:t>s</w:t>
      </w:r>
      <w:r w:rsidRPr="003151AF">
        <w:rPr>
          <w:rFonts w:cs="Arial"/>
        </w:rPr>
        <w:t xml:space="preserve"> podrá</w:t>
      </w:r>
      <w:r w:rsidR="004E7BA7">
        <w:rPr>
          <w:rFonts w:cs="Arial"/>
        </w:rPr>
        <w:t>n</w:t>
      </w:r>
      <w:r w:rsidRPr="003151AF">
        <w:rPr>
          <w:rFonts w:cs="Arial"/>
        </w:rPr>
        <w:t xml:space="preserve"> usar métodos indirectos para estimar la eficiencia de combustión en Tea siempre y cuando cuente</w:t>
      </w:r>
      <w:r w:rsidR="004E7BA7">
        <w:rPr>
          <w:rFonts w:cs="Arial"/>
        </w:rPr>
        <w:t>n</w:t>
      </w:r>
      <w:r w:rsidRPr="003151AF">
        <w:rPr>
          <w:rFonts w:cs="Arial"/>
        </w:rPr>
        <w:t xml:space="preserve"> con la aprobación de la Entidad de Fiscalización y en su proceso de estimación utilice</w:t>
      </w:r>
      <w:r w:rsidR="004E7BA7">
        <w:rPr>
          <w:rFonts w:cs="Arial"/>
        </w:rPr>
        <w:t>n</w:t>
      </w:r>
      <w:r w:rsidRPr="003151AF">
        <w:rPr>
          <w:rFonts w:cs="Arial"/>
        </w:rPr>
        <w:t xml:space="preserve"> datos medidos en campo.</w:t>
      </w:r>
    </w:p>
    <w:p w14:paraId="4D761A26" w14:textId="46D60DC1" w:rsidR="008B595C" w:rsidRDefault="008B595C" w:rsidP="003B6390">
      <w:pPr>
        <w:jc w:val="both"/>
        <w:rPr>
          <w:rFonts w:cs="Arial"/>
        </w:rPr>
      </w:pPr>
    </w:p>
    <w:p w14:paraId="1CDA78D0" w14:textId="3BA18F31" w:rsidR="008B595C" w:rsidRDefault="008B595C" w:rsidP="003B6390">
      <w:pPr>
        <w:jc w:val="both"/>
        <w:rPr>
          <w:rFonts w:cs="Arial"/>
        </w:rPr>
      </w:pPr>
      <w:r w:rsidRPr="00F1666D">
        <w:rPr>
          <w:rFonts w:cs="Arial"/>
          <w:lang w:val="en-GB"/>
        </w:rPr>
        <w:t xml:space="preserve">Cálculos propuestos por OGMP TGD - Oil and Gas Methane Partnership, Technical Guidance Documents. </w:t>
      </w:r>
      <w:r w:rsidRPr="008B595C">
        <w:rPr>
          <w:rFonts w:cs="Arial"/>
        </w:rPr>
        <w:t>Considera</w:t>
      </w:r>
      <w:r>
        <w:rPr>
          <w:rFonts w:cs="Arial"/>
        </w:rPr>
        <w:t xml:space="preserve"> </w:t>
      </w:r>
      <w:r w:rsidRPr="008B595C">
        <w:rPr>
          <w:rFonts w:cs="Arial"/>
        </w:rPr>
        <w:t xml:space="preserve">valores de poder calorífico del gas, velocidad de la llama, diámetro del </w:t>
      </w:r>
      <w:proofErr w:type="spellStart"/>
      <w:r w:rsidRPr="008B595C">
        <w:rPr>
          <w:rFonts w:cs="Arial"/>
        </w:rPr>
        <w:t>stack</w:t>
      </w:r>
      <w:proofErr w:type="spellEnd"/>
      <w:r w:rsidRPr="008B595C">
        <w:rPr>
          <w:rFonts w:cs="Arial"/>
        </w:rPr>
        <w:t xml:space="preserve"> y velocidad del vient</w:t>
      </w:r>
      <w:r>
        <w:rPr>
          <w:rFonts w:cs="Arial"/>
        </w:rPr>
        <w:t>o, tal como se presenta a continuación</w:t>
      </w:r>
      <w:r w:rsidR="00A44BAA">
        <w:rPr>
          <w:rFonts w:cs="Arial"/>
        </w:rPr>
        <w:t xml:space="preserve"> </w:t>
      </w:r>
      <w:sdt>
        <w:sdtPr>
          <w:rPr>
            <w:rFonts w:cs="Arial"/>
          </w:rPr>
          <w:tag w:val="MENDELEY_CITATION_v3_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"/>
          <w:id w:val="-477295498"/>
          <w:placeholder>
            <w:docPart w:val="DefaultPlaceholder_-1854013440"/>
          </w:placeholder>
        </w:sdtPr>
        <w:sdtEndPr/>
        <w:sdtContent>
          <w:r w:rsidR="00A44BAA" w:rsidRPr="00A44BAA">
            <w:rPr>
              <w:rFonts w:cs="Arial"/>
            </w:rPr>
            <w:t>[6], [7]</w:t>
          </w:r>
        </w:sdtContent>
      </w:sdt>
      <w:r>
        <w:rPr>
          <w:rFonts w:cs="Arial"/>
        </w:rPr>
        <w:t>:</w:t>
      </w:r>
      <w:r w:rsidRPr="008B595C">
        <w:rPr>
          <w:rFonts w:cs="Arial"/>
        </w:rPr>
        <w:t xml:space="preserve">    </w:t>
      </w:r>
    </w:p>
    <w:p w14:paraId="52776818" w14:textId="09DE840C" w:rsidR="003B6390" w:rsidRDefault="003B6390" w:rsidP="003B6390">
      <w:pPr>
        <w:jc w:val="both"/>
        <w:rPr>
          <w:rFonts w:cs="Arial"/>
        </w:rPr>
      </w:pPr>
    </w:p>
    <w:p w14:paraId="387C6899" w14:textId="3DC5B05E" w:rsidR="003B6390" w:rsidRDefault="003B6390" w:rsidP="003B6390">
      <w:pPr>
        <w:jc w:val="both"/>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404"/>
      </w:tblGrid>
      <w:tr w:rsidR="00543DE9" w14:paraId="3905C115" w14:textId="77777777" w:rsidTr="008771F8">
        <w:trPr>
          <w:trHeight w:val="490"/>
        </w:trPr>
        <w:tc>
          <w:tcPr>
            <w:tcW w:w="7987" w:type="dxa"/>
            <w:vAlign w:val="center"/>
          </w:tcPr>
          <w:p w14:paraId="04356A89" w14:textId="5876BF7D" w:rsidR="00543DE9" w:rsidRPr="00B27F7A" w:rsidRDefault="00543DE9" w:rsidP="008771F8">
            <w:pPr>
              <w:jc w:val="center"/>
              <w:rPr>
                <w:rFonts w:cs="Arial"/>
              </w:rPr>
            </w:pPr>
            <m:oMathPara>
              <m:oMath>
                <m:r>
                  <w:rPr>
                    <w:rFonts w:ascii="Cambria Math" w:hAnsi="Cambria Math" w:cs="Arial"/>
                  </w:rPr>
                  <m:t xml:space="preserve">μ=1-0.00166 </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LHV</m:t>
                                </m:r>
                              </m:e>
                              <m:sub>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sub>
                            </m:sSub>
                          </m:num>
                          <m:den>
                            <m:sSub>
                              <m:sSubPr>
                                <m:ctrlPr>
                                  <w:rPr>
                                    <w:rFonts w:ascii="Cambria Math" w:hAnsi="Cambria Math" w:cs="Arial"/>
                                    <w:i/>
                                  </w:rPr>
                                </m:ctrlPr>
                              </m:sSubPr>
                              <m:e>
                                <m:r>
                                  <w:rPr>
                                    <w:rFonts w:ascii="Cambria Math" w:hAnsi="Cambria Math" w:cs="Arial"/>
                                  </w:rPr>
                                  <m:t>LHV</m:t>
                                </m:r>
                              </m:e>
                              <m:sub>
                                <m:r>
                                  <w:rPr>
                                    <w:rFonts w:ascii="Cambria Math" w:hAnsi="Cambria Math" w:cs="Arial"/>
                                  </w:rPr>
                                  <m:t xml:space="preserve"> f</m:t>
                                </m:r>
                              </m:sub>
                            </m:sSub>
                          </m:den>
                        </m:f>
                      </m:e>
                    </m:d>
                  </m:e>
                  <m:sup>
                    <m:r>
                      <w:rPr>
                        <w:rFonts w:ascii="Cambria Math" w:hAnsi="Cambria Math" w:cs="Arial"/>
                      </w:rPr>
                      <m:t>3</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e</m:t>
                    </m:r>
                  </m:e>
                  <m:sup>
                    <m:d>
                      <m:dPr>
                        <m:ctrlPr>
                          <w:rPr>
                            <w:rFonts w:ascii="Cambria Math" w:hAnsi="Cambria Math" w:cs="Arial"/>
                            <w:i/>
                          </w:rPr>
                        </m:ctrlPr>
                      </m:dPr>
                      <m:e>
                        <m:f>
                          <m:fPr>
                            <m:ctrlPr>
                              <w:rPr>
                                <w:rFonts w:ascii="Cambria Math" w:hAnsi="Cambria Math" w:cs="Arial"/>
                                <w:i/>
                              </w:rPr>
                            </m:ctrlPr>
                          </m:fPr>
                          <m:num>
                            <m:r>
                              <w:rPr>
                                <w:rFonts w:ascii="Cambria Math" w:hAnsi="Cambria Math" w:cs="Arial"/>
                              </w:rPr>
                              <m:t xml:space="preserve">0.317* </m:t>
                            </m:r>
                            <m:sSub>
                              <m:sSubPr>
                                <m:ctrlPr>
                                  <w:rPr>
                                    <w:rFonts w:ascii="Cambria Math" w:hAnsi="Cambria Math" w:cs="Arial"/>
                                    <w:i/>
                                  </w:rPr>
                                </m:ctrlPr>
                              </m:sSubPr>
                              <m:e>
                                <m:r>
                                  <w:rPr>
                                    <w:rFonts w:ascii="Cambria Math" w:hAnsi="Cambria Math" w:cs="Arial"/>
                                  </w:rPr>
                                  <m:t>U</m:t>
                                </m:r>
                              </m:e>
                              <m:sub>
                                <m:r>
                                  <w:rPr>
                                    <w:rFonts w:ascii="Cambria Math" w:hAnsi="Cambria Math" w:cs="Arial"/>
                                  </w:rPr>
                                  <m:t>w</m:t>
                                </m:r>
                              </m:sub>
                            </m:sSub>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 xml:space="preserve">g*d* </m:t>
                                    </m:r>
                                    <m:sSub>
                                      <m:sSubPr>
                                        <m:ctrlPr>
                                          <w:rPr>
                                            <w:rFonts w:ascii="Cambria Math" w:hAnsi="Cambria Math" w:cs="Arial"/>
                                            <w:i/>
                                          </w:rPr>
                                        </m:ctrlPr>
                                      </m:sSubPr>
                                      <m:e>
                                        <m:r>
                                          <w:rPr>
                                            <w:rFonts w:ascii="Cambria Math" w:hAnsi="Cambria Math" w:cs="Arial"/>
                                          </w:rPr>
                                          <m:t>U</m:t>
                                        </m:r>
                                      </m:e>
                                      <m:sub>
                                        <m:r>
                                          <w:rPr>
                                            <w:rFonts w:ascii="Cambria Math" w:hAnsi="Cambria Math" w:cs="Arial"/>
                                          </w:rPr>
                                          <m:t>f</m:t>
                                        </m:r>
                                      </m:sub>
                                    </m:sSub>
                                  </m:e>
                                </m:d>
                              </m:e>
                              <m:sup>
                                <m:r>
                                  <w:rPr>
                                    <w:rFonts w:ascii="Cambria Math" w:hAnsi="Cambria Math" w:cs="Arial"/>
                                  </w:rPr>
                                  <m:t>1/3</m:t>
                                </m:r>
                              </m:sup>
                            </m:sSup>
                          </m:den>
                        </m:f>
                      </m:e>
                    </m:d>
                  </m:sup>
                </m:sSup>
              </m:oMath>
            </m:oMathPara>
          </w:p>
        </w:tc>
        <w:tc>
          <w:tcPr>
            <w:tcW w:w="1404" w:type="dxa"/>
            <w:vAlign w:val="center"/>
          </w:tcPr>
          <w:p w14:paraId="1044C351" w14:textId="77777777" w:rsidR="00543DE9" w:rsidRPr="00F519DA" w:rsidRDefault="00543DE9" w:rsidP="008771F8">
            <w:pPr>
              <w:jc w:val="right"/>
              <w:rPr>
                <w:b/>
                <w:bCs/>
                <w:sz w:val="20"/>
              </w:rPr>
            </w:pPr>
            <w:r w:rsidRPr="00F519DA">
              <w:rPr>
                <w:rFonts w:cs="Arial"/>
                <w:b/>
                <w:bCs/>
                <w:sz w:val="20"/>
              </w:rPr>
              <w:t xml:space="preserve">Ecuación </w:t>
            </w:r>
            <w:r>
              <w:rPr>
                <w:rFonts w:cs="Arial"/>
                <w:b/>
                <w:bCs/>
                <w:sz w:val="20"/>
              </w:rPr>
              <w:t>9</w:t>
            </w:r>
          </w:p>
        </w:tc>
      </w:tr>
    </w:tbl>
    <w:p w14:paraId="640BC90F" w14:textId="77777777" w:rsidR="003B6390" w:rsidRDefault="003B6390" w:rsidP="003B6390">
      <w:pPr>
        <w:jc w:val="both"/>
        <w:rPr>
          <w:rFonts w:cs="Arial"/>
        </w:rPr>
      </w:pPr>
    </w:p>
    <w:bookmarkEnd w:id="40"/>
    <w:p w14:paraId="45D12BF7" w14:textId="77777777" w:rsidR="008B595C" w:rsidRDefault="008B595C" w:rsidP="008B595C">
      <w:pPr>
        <w:jc w:val="both"/>
        <w:rPr>
          <w:rFonts w:cs="Arial"/>
          <w:color w:val="auto"/>
          <w:szCs w:val="22"/>
        </w:rPr>
      </w:pPr>
      <w:r>
        <w:rPr>
          <w:rFonts w:cs="Arial"/>
          <w:color w:val="auto"/>
          <w:szCs w:val="22"/>
        </w:rPr>
        <w:t xml:space="preserve">Donde: </w:t>
      </w:r>
    </w:p>
    <w:p w14:paraId="049087AA" w14:textId="327C6B24" w:rsidR="008B595C" w:rsidRDefault="008B595C" w:rsidP="008B595C">
      <w:pPr>
        <w:jc w:val="both"/>
        <w:rPr>
          <w:rFonts w:cs="Arial"/>
          <w:color w:val="auto"/>
          <w:sz w:val="20"/>
          <w:szCs w:val="22"/>
        </w:rPr>
      </w:pPr>
      <m:oMath>
        <m:r>
          <w:rPr>
            <w:rFonts w:ascii="Cambria Math" w:hAnsi="Cambria Math" w:cs="Arial"/>
          </w:rPr>
          <m:t>μ</m:t>
        </m:r>
      </m:oMath>
      <w:r w:rsidRPr="00CA05EE">
        <w:rPr>
          <w:rFonts w:cs="Arial"/>
          <w:color w:val="auto"/>
          <w:sz w:val="20"/>
          <w:szCs w:val="22"/>
        </w:rPr>
        <w:t xml:space="preserve"> =</w:t>
      </w:r>
      <w:r>
        <w:rPr>
          <w:rFonts w:cs="Arial"/>
          <w:color w:val="auto"/>
          <w:sz w:val="20"/>
          <w:szCs w:val="22"/>
        </w:rPr>
        <w:t xml:space="preserve"> Eficiencia de combustión;</w:t>
      </w:r>
    </w:p>
    <w:p w14:paraId="37B12B92" w14:textId="6AED6ADF" w:rsidR="008B595C" w:rsidRDefault="00AB45E0" w:rsidP="008B595C">
      <w:pPr>
        <w:jc w:val="both"/>
        <w:rPr>
          <w:rFonts w:cs="Arial"/>
          <w:color w:val="auto"/>
          <w:sz w:val="20"/>
          <w:szCs w:val="22"/>
        </w:rPr>
      </w:pPr>
      <m:oMath>
        <m:sSub>
          <m:sSubPr>
            <m:ctrlPr>
              <w:rPr>
                <w:rFonts w:ascii="Cambria Math" w:hAnsi="Cambria Math" w:cs="Arial"/>
                <w:i/>
              </w:rPr>
            </m:ctrlPr>
          </m:sSubPr>
          <m:e>
            <m:r>
              <w:rPr>
                <w:rFonts w:ascii="Cambria Math" w:hAnsi="Cambria Math" w:cs="Arial"/>
              </w:rPr>
              <m:t>LHV</m:t>
            </m:r>
          </m:e>
          <m:sub>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sub>
        </m:sSub>
      </m:oMath>
      <w:r w:rsidR="008B595C" w:rsidRPr="004A515C">
        <w:rPr>
          <w:rFonts w:cs="Arial"/>
          <w:sz w:val="20"/>
        </w:rPr>
        <w:t xml:space="preserve">= </w:t>
      </w:r>
      <w:r w:rsidR="004A515C" w:rsidRPr="004A515C">
        <w:rPr>
          <w:rFonts w:cs="Arial"/>
          <w:sz w:val="20"/>
        </w:rPr>
        <w:t xml:space="preserve">Poder calorífico inferior del metano </w:t>
      </w:r>
      <w:r w:rsidR="004A515C">
        <w:rPr>
          <w:rFonts w:cs="Arial"/>
          <w:sz w:val="20"/>
        </w:rPr>
        <w:t>por unidad de</w:t>
      </w:r>
      <w:r w:rsidR="004A515C" w:rsidRPr="004A515C">
        <w:rPr>
          <w:rFonts w:cs="Arial"/>
          <w:sz w:val="20"/>
        </w:rPr>
        <w:t xml:space="preserve"> masa </w:t>
      </w:r>
      <w:r w:rsidR="004A515C">
        <w:rPr>
          <w:rFonts w:cs="Arial"/>
          <w:sz w:val="20"/>
        </w:rPr>
        <w:t>(MJ/Kg)</w:t>
      </w:r>
      <w:r w:rsidR="00A75837">
        <w:rPr>
          <w:rFonts w:cs="Arial"/>
          <w:sz w:val="20"/>
        </w:rPr>
        <w:t xml:space="preserve"> (50 MJ/Kg)</w:t>
      </w:r>
      <w:r w:rsidR="008B595C">
        <w:rPr>
          <w:rFonts w:cs="Arial"/>
          <w:color w:val="auto"/>
          <w:sz w:val="20"/>
          <w:szCs w:val="22"/>
        </w:rPr>
        <w:t>;</w:t>
      </w:r>
    </w:p>
    <w:p w14:paraId="28BD4AF0" w14:textId="0C9E8CF5" w:rsidR="004A515C" w:rsidRDefault="00AB45E0" w:rsidP="004A515C">
      <w:pPr>
        <w:jc w:val="both"/>
        <w:rPr>
          <w:rFonts w:cs="Arial"/>
          <w:color w:val="auto"/>
          <w:sz w:val="20"/>
          <w:szCs w:val="22"/>
        </w:rPr>
      </w:pPr>
      <m:oMath>
        <m:sSub>
          <m:sSubPr>
            <m:ctrlPr>
              <w:rPr>
                <w:rFonts w:ascii="Cambria Math" w:hAnsi="Cambria Math" w:cs="Arial"/>
                <w:i/>
              </w:rPr>
            </m:ctrlPr>
          </m:sSubPr>
          <m:e>
            <m:r>
              <w:rPr>
                <w:rFonts w:ascii="Cambria Math" w:hAnsi="Cambria Math" w:cs="Arial"/>
              </w:rPr>
              <m:t>LHV</m:t>
            </m:r>
          </m:e>
          <m:sub>
            <m:r>
              <w:rPr>
                <w:rFonts w:ascii="Cambria Math" w:hAnsi="Cambria Math" w:cs="Arial"/>
              </w:rPr>
              <m:t>f</m:t>
            </m:r>
          </m:sub>
        </m:sSub>
      </m:oMath>
      <w:r w:rsidR="004A515C" w:rsidRPr="004A515C">
        <w:rPr>
          <w:rFonts w:cs="Arial"/>
          <w:sz w:val="20"/>
        </w:rPr>
        <w:t>= Poder calorífico inferior d</w:t>
      </w:r>
      <w:r w:rsidR="00FD7836">
        <w:rPr>
          <w:rFonts w:cs="Arial"/>
          <w:sz w:val="20"/>
        </w:rPr>
        <w:t>e la corriente de gas a Tea</w:t>
      </w:r>
      <w:r w:rsidR="004A515C" w:rsidRPr="004A515C">
        <w:rPr>
          <w:rFonts w:cs="Arial"/>
          <w:sz w:val="20"/>
        </w:rPr>
        <w:t xml:space="preserve"> </w:t>
      </w:r>
      <w:r w:rsidR="004A515C">
        <w:rPr>
          <w:rFonts w:cs="Arial"/>
          <w:sz w:val="20"/>
        </w:rPr>
        <w:t>por unidad de</w:t>
      </w:r>
      <w:r w:rsidR="004A515C" w:rsidRPr="004A515C">
        <w:rPr>
          <w:rFonts w:cs="Arial"/>
          <w:sz w:val="20"/>
        </w:rPr>
        <w:t xml:space="preserve"> masa </w:t>
      </w:r>
      <w:r w:rsidR="004A515C">
        <w:rPr>
          <w:rFonts w:cs="Arial"/>
          <w:sz w:val="20"/>
        </w:rPr>
        <w:t>(MJ/Kg)</w:t>
      </w:r>
      <w:r w:rsidR="004A515C">
        <w:rPr>
          <w:rFonts w:cs="Arial"/>
          <w:color w:val="auto"/>
          <w:sz w:val="20"/>
          <w:szCs w:val="22"/>
        </w:rPr>
        <w:t>;</w:t>
      </w:r>
    </w:p>
    <w:p w14:paraId="3AC61876" w14:textId="05F10E64" w:rsidR="008B595C" w:rsidRDefault="00AB45E0" w:rsidP="008B595C">
      <w:pPr>
        <w:jc w:val="both"/>
        <w:rPr>
          <w:rFonts w:cs="Arial"/>
          <w:color w:val="auto"/>
          <w:sz w:val="20"/>
          <w:szCs w:val="22"/>
        </w:rPr>
      </w:pPr>
      <m:oMath>
        <m:sSub>
          <m:sSubPr>
            <m:ctrlPr>
              <w:rPr>
                <w:rFonts w:ascii="Cambria Math" w:hAnsi="Cambria Math" w:cs="Arial"/>
                <w:i/>
              </w:rPr>
            </m:ctrlPr>
          </m:sSubPr>
          <m:e>
            <m:r>
              <w:rPr>
                <w:rFonts w:ascii="Cambria Math" w:hAnsi="Cambria Math" w:cs="Arial"/>
              </w:rPr>
              <m:t>U</m:t>
            </m:r>
          </m:e>
          <m:sub>
            <m:r>
              <w:rPr>
                <w:rFonts w:ascii="Cambria Math" w:hAnsi="Cambria Math" w:cs="Arial"/>
              </w:rPr>
              <m:t>w</m:t>
            </m:r>
          </m:sub>
        </m:sSub>
      </m:oMath>
      <w:r w:rsidR="008B595C" w:rsidRPr="00CA05EE">
        <w:rPr>
          <w:rFonts w:cs="Arial"/>
          <w:color w:val="auto"/>
          <w:sz w:val="20"/>
          <w:szCs w:val="22"/>
        </w:rPr>
        <w:t xml:space="preserve">= </w:t>
      </w:r>
      <w:r w:rsidR="00FD7836">
        <w:rPr>
          <w:rFonts w:cs="Arial"/>
          <w:color w:val="auto"/>
          <w:sz w:val="20"/>
          <w:szCs w:val="22"/>
        </w:rPr>
        <w:t>Velocidad del viendo</w:t>
      </w:r>
      <w:r w:rsidR="00A75837">
        <w:rPr>
          <w:rFonts w:cs="Arial"/>
          <w:color w:val="auto"/>
          <w:sz w:val="20"/>
          <w:szCs w:val="22"/>
        </w:rPr>
        <w:t xml:space="preserve"> promedio</w:t>
      </w:r>
      <w:r w:rsidR="00FD7836">
        <w:rPr>
          <w:rFonts w:cs="Arial"/>
          <w:color w:val="auto"/>
          <w:sz w:val="20"/>
          <w:szCs w:val="22"/>
        </w:rPr>
        <w:t xml:space="preserve"> (m/s); </w:t>
      </w:r>
    </w:p>
    <w:p w14:paraId="7868F816" w14:textId="76C95B9F" w:rsidR="00FD7836" w:rsidRDefault="00AB45E0" w:rsidP="008B595C">
      <w:pPr>
        <w:jc w:val="both"/>
        <w:rPr>
          <w:rFonts w:cs="Arial"/>
          <w:color w:val="auto"/>
          <w:sz w:val="20"/>
          <w:szCs w:val="22"/>
        </w:rPr>
      </w:pPr>
      <m:oMath>
        <m:sSub>
          <m:sSubPr>
            <m:ctrlPr>
              <w:rPr>
                <w:rFonts w:ascii="Cambria Math" w:hAnsi="Cambria Math" w:cs="Arial"/>
                <w:i/>
              </w:rPr>
            </m:ctrlPr>
          </m:sSubPr>
          <m:e>
            <m:r>
              <w:rPr>
                <w:rFonts w:ascii="Cambria Math" w:hAnsi="Cambria Math" w:cs="Arial"/>
              </w:rPr>
              <m:t>U</m:t>
            </m:r>
          </m:e>
          <m:sub>
            <m:r>
              <w:rPr>
                <w:rFonts w:ascii="Cambria Math" w:hAnsi="Cambria Math" w:cs="Arial"/>
              </w:rPr>
              <m:t>f</m:t>
            </m:r>
          </m:sub>
        </m:sSub>
      </m:oMath>
      <w:r w:rsidR="00FD7836" w:rsidRPr="00CA05EE">
        <w:rPr>
          <w:rFonts w:cs="Arial"/>
          <w:color w:val="auto"/>
          <w:sz w:val="20"/>
          <w:szCs w:val="22"/>
        </w:rPr>
        <w:t xml:space="preserve">= </w:t>
      </w:r>
      <w:r w:rsidR="00FD7836">
        <w:rPr>
          <w:rFonts w:cs="Arial"/>
          <w:color w:val="auto"/>
          <w:sz w:val="20"/>
          <w:szCs w:val="22"/>
        </w:rPr>
        <w:t xml:space="preserve">Velocidad de salida de la llamarada (m/s); </w:t>
      </w:r>
    </w:p>
    <w:p w14:paraId="5CA54281" w14:textId="118AA488" w:rsidR="008B595C" w:rsidRDefault="00FD7836" w:rsidP="008B595C">
      <w:pPr>
        <w:jc w:val="both"/>
        <w:rPr>
          <w:rFonts w:cs="Arial"/>
          <w:color w:val="auto"/>
          <w:sz w:val="20"/>
          <w:szCs w:val="22"/>
        </w:rPr>
      </w:pPr>
      <m:oMath>
        <m:r>
          <w:rPr>
            <w:rFonts w:ascii="Cambria Math" w:hAnsi="Cambria Math" w:cs="Arial"/>
          </w:rPr>
          <m:t xml:space="preserve">g </m:t>
        </m:r>
      </m:oMath>
      <w:r w:rsidR="008B595C">
        <w:rPr>
          <w:rFonts w:cs="Arial"/>
        </w:rPr>
        <w:t xml:space="preserve">= </w:t>
      </w:r>
      <w:r>
        <w:rPr>
          <w:rFonts w:cs="Arial"/>
          <w:color w:val="auto"/>
          <w:sz w:val="20"/>
          <w:szCs w:val="22"/>
        </w:rPr>
        <w:t>Gravedad (m/s</w:t>
      </w:r>
      <w:r w:rsidRPr="00FD7836">
        <w:rPr>
          <w:rFonts w:cs="Arial"/>
          <w:color w:val="auto"/>
          <w:sz w:val="20"/>
          <w:szCs w:val="22"/>
          <w:vertAlign w:val="superscript"/>
        </w:rPr>
        <w:t>2</w:t>
      </w:r>
      <w:r>
        <w:rPr>
          <w:rFonts w:cs="Arial"/>
          <w:color w:val="auto"/>
          <w:sz w:val="20"/>
          <w:szCs w:val="22"/>
        </w:rPr>
        <w:t>);</w:t>
      </w:r>
    </w:p>
    <w:p w14:paraId="5ED1587A" w14:textId="7CD2CB48" w:rsidR="00FD7836" w:rsidRDefault="00FD7836" w:rsidP="00FD7836">
      <w:pPr>
        <w:jc w:val="both"/>
        <w:rPr>
          <w:rFonts w:cs="Arial"/>
          <w:color w:val="auto"/>
          <w:sz w:val="20"/>
          <w:szCs w:val="22"/>
        </w:rPr>
      </w:pPr>
      <m:oMath>
        <m:r>
          <w:rPr>
            <w:rFonts w:ascii="Cambria Math" w:hAnsi="Cambria Math" w:cs="Arial"/>
          </w:rPr>
          <m:t xml:space="preserve">d </m:t>
        </m:r>
      </m:oMath>
      <w:r>
        <w:rPr>
          <w:rFonts w:cs="Arial"/>
        </w:rPr>
        <w:t xml:space="preserve">= </w:t>
      </w:r>
      <w:r>
        <w:rPr>
          <w:rFonts w:cs="Arial"/>
          <w:color w:val="auto"/>
          <w:sz w:val="20"/>
          <w:szCs w:val="22"/>
        </w:rPr>
        <w:t>Diámetro exterior de la Tea (m);</w:t>
      </w:r>
    </w:p>
    <w:p w14:paraId="0ED6BB05" w14:textId="77777777" w:rsidR="00FD7836" w:rsidRDefault="00FD7836" w:rsidP="008B595C">
      <w:pPr>
        <w:jc w:val="both"/>
        <w:rPr>
          <w:rFonts w:cs="Arial"/>
          <w:color w:val="auto"/>
          <w:sz w:val="20"/>
          <w:szCs w:val="22"/>
        </w:rPr>
      </w:pPr>
    </w:p>
    <w:p w14:paraId="5C29F4B8" w14:textId="7D930304" w:rsidR="00D35C77" w:rsidRPr="0037034F" w:rsidRDefault="00D35C77" w:rsidP="008B595C">
      <w:pPr>
        <w:jc w:val="both"/>
        <w:rPr>
          <w:rFonts w:cs="Arial"/>
        </w:rPr>
      </w:pPr>
      <w:r w:rsidRPr="0037034F">
        <w:rPr>
          <w:rFonts w:cs="Arial"/>
        </w:rPr>
        <w:lastRenderedPageBreak/>
        <w:t>El uso de metodología indirecta para esta estimación estará limitada a:</w:t>
      </w:r>
    </w:p>
    <w:p w14:paraId="51A791F6" w14:textId="1187ADA7" w:rsidR="00763AD2" w:rsidRPr="0037034F" w:rsidRDefault="00D35C77" w:rsidP="00D35C77">
      <w:pPr>
        <w:pStyle w:val="Prrafodelista"/>
        <w:numPr>
          <w:ilvl w:val="0"/>
          <w:numId w:val="33"/>
        </w:numPr>
        <w:rPr>
          <w:rFonts w:cs="Arial"/>
        </w:rPr>
      </w:pPr>
      <w:r w:rsidRPr="0037034F">
        <w:rPr>
          <w:rFonts w:cs="Arial"/>
        </w:rPr>
        <w:t>Existencia y/o disponibilidad justificada de tecnologías de medición existentes y/o desarrolladas a nivel nacional o internacional</w:t>
      </w:r>
      <w:r w:rsidR="001778EE" w:rsidRPr="0037034F">
        <w:rPr>
          <w:rFonts w:cs="Arial"/>
        </w:rPr>
        <w:t>.</w:t>
      </w:r>
    </w:p>
    <w:p w14:paraId="21202432" w14:textId="0BE7BD3F" w:rsidR="00D35C77" w:rsidRPr="0037034F" w:rsidRDefault="00D35C77" w:rsidP="00D35C77">
      <w:pPr>
        <w:pStyle w:val="Prrafodelista"/>
        <w:numPr>
          <w:ilvl w:val="0"/>
          <w:numId w:val="33"/>
        </w:numPr>
        <w:rPr>
          <w:rFonts w:cs="Arial"/>
        </w:rPr>
      </w:pPr>
      <w:r w:rsidRPr="0037034F">
        <w:rPr>
          <w:rFonts w:cs="Arial"/>
        </w:rPr>
        <w:t>Condiciones de seguridad manifiesta justificadas</w:t>
      </w:r>
      <w:r w:rsidR="001778EE" w:rsidRPr="0037034F">
        <w:rPr>
          <w:rFonts w:cs="Arial"/>
        </w:rPr>
        <w:t>.</w:t>
      </w:r>
    </w:p>
    <w:p w14:paraId="1A903A60" w14:textId="5453D90D" w:rsidR="00D35C77" w:rsidRPr="0037034F" w:rsidRDefault="00D35C77" w:rsidP="00D35C77">
      <w:pPr>
        <w:pStyle w:val="Prrafodelista"/>
        <w:numPr>
          <w:ilvl w:val="0"/>
          <w:numId w:val="33"/>
        </w:numPr>
        <w:rPr>
          <w:rFonts w:cs="Arial"/>
        </w:rPr>
      </w:pPr>
      <w:r w:rsidRPr="0037034F">
        <w:rPr>
          <w:rFonts w:cs="Arial"/>
        </w:rPr>
        <w:t>Análisis Técnico-Económico</w:t>
      </w:r>
      <w:r w:rsidR="005237D3" w:rsidRPr="0037034F">
        <w:rPr>
          <w:rFonts w:cs="Arial"/>
        </w:rPr>
        <w:t xml:space="preserve"> debidamente justificado</w:t>
      </w:r>
      <w:r w:rsidR="001778EE" w:rsidRPr="0037034F">
        <w:rPr>
          <w:rFonts w:cs="Arial"/>
        </w:rPr>
        <w:t>.</w:t>
      </w:r>
    </w:p>
    <w:p w14:paraId="43072A6D" w14:textId="16408474" w:rsidR="00247B44" w:rsidRPr="00474CD3" w:rsidRDefault="00763AD2" w:rsidP="00474CD3">
      <w:pPr>
        <w:pStyle w:val="Ttulo1"/>
        <w:numPr>
          <w:ilvl w:val="0"/>
          <w:numId w:val="5"/>
        </w:numPr>
        <w:rPr>
          <w:rFonts w:cs="Arial"/>
        </w:rPr>
      </w:pPr>
      <w:bookmarkStart w:id="43" w:name="_Toc138340220"/>
      <w:bookmarkStart w:id="44" w:name="_Toc145672308"/>
      <w:r w:rsidRPr="00474CD3">
        <w:rPr>
          <w:rFonts w:cs="Arial"/>
        </w:rPr>
        <w:t>VALOR MÍNIMO</w:t>
      </w:r>
      <w:r w:rsidR="00247B44" w:rsidRPr="00474CD3">
        <w:rPr>
          <w:rFonts w:cs="Arial"/>
        </w:rPr>
        <w:t xml:space="preserve"> DE LA EFICIENCIA DE </w:t>
      </w:r>
      <w:r w:rsidR="00134476" w:rsidRPr="00474CD3">
        <w:rPr>
          <w:rFonts w:cs="Arial"/>
        </w:rPr>
        <w:t xml:space="preserve">COMBUSTIÓN </w:t>
      </w:r>
      <w:r w:rsidR="00F21A49" w:rsidRPr="00474CD3">
        <w:rPr>
          <w:rFonts w:cs="Arial"/>
        </w:rPr>
        <w:t>EN</w:t>
      </w:r>
      <w:r w:rsidR="00134476" w:rsidRPr="00474CD3">
        <w:rPr>
          <w:rFonts w:cs="Arial"/>
        </w:rPr>
        <w:t xml:space="preserve"> </w:t>
      </w:r>
      <w:r w:rsidR="00247B44" w:rsidRPr="00474CD3">
        <w:rPr>
          <w:rFonts w:cs="Arial"/>
        </w:rPr>
        <w:t>TEA</w:t>
      </w:r>
      <w:bookmarkEnd w:id="43"/>
      <w:bookmarkEnd w:id="44"/>
    </w:p>
    <w:p w14:paraId="64009AE9" w14:textId="0643C65F" w:rsidR="00714D12" w:rsidRDefault="00714D12" w:rsidP="00714D12"/>
    <w:p w14:paraId="711DE94D" w14:textId="4C76E9CF" w:rsidR="00714D12" w:rsidRPr="00714D12" w:rsidRDefault="00714D12" w:rsidP="00714D12">
      <w:pPr>
        <w:jc w:val="both"/>
        <w:rPr>
          <w:rFonts w:cs="Arial"/>
        </w:rPr>
      </w:pPr>
      <w:r w:rsidRPr="00714D12">
        <w:rPr>
          <w:rFonts w:cs="Arial"/>
        </w:rPr>
        <w:t>Se establecerá como valor mínimo de Eficiencia de Combustión en Tea (CE y DRE), aquel reportado por la</w:t>
      </w:r>
      <w:r w:rsidR="007E4D79">
        <w:rPr>
          <w:rFonts w:cs="Arial"/>
        </w:rPr>
        <w:t>s</w:t>
      </w:r>
      <w:r w:rsidRPr="00714D12">
        <w:rPr>
          <w:rFonts w:cs="Arial"/>
        </w:rPr>
        <w:t xml:space="preserve"> Compañía</w:t>
      </w:r>
      <w:r w:rsidR="007E4D79">
        <w:rPr>
          <w:rFonts w:cs="Arial"/>
        </w:rPr>
        <w:t>s</w:t>
      </w:r>
      <w:r w:rsidRPr="00714D12">
        <w:rPr>
          <w:rFonts w:cs="Arial"/>
        </w:rPr>
        <w:t xml:space="preserve"> Operadora</w:t>
      </w:r>
      <w:r w:rsidR="007E4D79">
        <w:rPr>
          <w:rFonts w:cs="Arial"/>
        </w:rPr>
        <w:t>s</w:t>
      </w:r>
      <w:r w:rsidRPr="00714D12">
        <w:rPr>
          <w:rFonts w:cs="Arial"/>
        </w:rPr>
        <w:t xml:space="preserve"> en el primer Informe de Evaluación de Eficiencia de Combustión</w:t>
      </w:r>
      <w:r w:rsidR="00F44F5A">
        <w:rPr>
          <w:rFonts w:cs="Arial"/>
        </w:rPr>
        <w:t>,</w:t>
      </w:r>
      <w:r w:rsidRPr="00714D12">
        <w:rPr>
          <w:rFonts w:cs="Arial"/>
        </w:rPr>
        <w:t xml:space="preserve"> de acuerdo con lo dispuesto en el artículo 3 de la Resolución 40317 de 2023 que modific</w:t>
      </w:r>
      <w:r w:rsidR="00F44F5A">
        <w:rPr>
          <w:rFonts w:cs="Arial"/>
        </w:rPr>
        <w:t>ó</w:t>
      </w:r>
      <w:r w:rsidRPr="00714D12">
        <w:rPr>
          <w:rFonts w:cs="Arial"/>
        </w:rPr>
        <w:t xml:space="preserve"> el artículo 22 de la Resolución 40066 de 2022</w:t>
      </w:r>
      <w:r w:rsidR="00F44F5A">
        <w:rPr>
          <w:rFonts w:cs="Arial"/>
        </w:rPr>
        <w:t>; n</w:t>
      </w:r>
      <w:r w:rsidRPr="00714D12">
        <w:rPr>
          <w:rFonts w:cs="Arial"/>
        </w:rPr>
        <w:t xml:space="preserve">o obstante, la eficiencia manifiesta deberá ser soportada con parámetros técnicos acorde con la </w:t>
      </w:r>
      <w:r w:rsidR="00F44F5A">
        <w:rPr>
          <w:rFonts w:cs="Arial"/>
        </w:rPr>
        <w:t>n</w:t>
      </w:r>
      <w:r w:rsidRPr="00714D12">
        <w:rPr>
          <w:rFonts w:cs="Arial"/>
        </w:rPr>
        <w:t xml:space="preserve">ormativa aplicable a los sistemas de </w:t>
      </w:r>
      <w:r w:rsidR="00F44F5A">
        <w:rPr>
          <w:rFonts w:cs="Arial"/>
        </w:rPr>
        <w:t>T</w:t>
      </w:r>
      <w:r w:rsidRPr="00714D12">
        <w:rPr>
          <w:rFonts w:cs="Arial"/>
        </w:rPr>
        <w:t>eas, tales como API/ASME.</w:t>
      </w:r>
    </w:p>
    <w:p w14:paraId="1334ABBE" w14:textId="66AD6439" w:rsidR="00142F28" w:rsidRDefault="00142F28" w:rsidP="00142F28"/>
    <w:p w14:paraId="540F19A1" w14:textId="4BDD71C2" w:rsidR="00142F28" w:rsidRPr="00474CD3" w:rsidRDefault="0069112E" w:rsidP="00474CD3">
      <w:pPr>
        <w:pStyle w:val="Ttulo1"/>
        <w:numPr>
          <w:ilvl w:val="0"/>
          <w:numId w:val="5"/>
        </w:numPr>
        <w:jc w:val="both"/>
        <w:rPr>
          <w:rFonts w:cs="Arial"/>
        </w:rPr>
      </w:pPr>
      <w:bookmarkStart w:id="45" w:name="_Toc145672309"/>
      <w:r w:rsidRPr="00474CD3">
        <w:rPr>
          <w:rFonts w:cs="Arial"/>
        </w:rPr>
        <w:t>PERIODICIDAD DE LA EVALUACIÓN DE EFICIENCIA DE COMBUSTIÓN EN TEA</w:t>
      </w:r>
      <w:bookmarkEnd w:id="45"/>
    </w:p>
    <w:p w14:paraId="1AED4A5E" w14:textId="38996A03" w:rsidR="0069112E" w:rsidRDefault="0069112E" w:rsidP="0069112E">
      <w:pPr>
        <w:rPr>
          <w:rFonts w:eastAsiaTheme="majorEastAsia" w:cs="Arial"/>
          <w:b/>
          <w:sz w:val="28"/>
          <w:szCs w:val="28"/>
        </w:rPr>
      </w:pPr>
    </w:p>
    <w:p w14:paraId="7084C602" w14:textId="77530C76" w:rsidR="0069112E" w:rsidRPr="0069112E" w:rsidRDefault="00052DAA" w:rsidP="002770A5">
      <w:pPr>
        <w:jc w:val="both"/>
        <w:rPr>
          <w:rFonts w:eastAsiaTheme="majorEastAsia" w:cs="Arial"/>
          <w:sz w:val="20"/>
          <w:szCs w:val="28"/>
        </w:rPr>
      </w:pPr>
      <w:r>
        <w:rPr>
          <w:rFonts w:eastAsiaTheme="majorEastAsia" w:cs="Arial"/>
          <w:szCs w:val="28"/>
        </w:rPr>
        <w:t>La</w:t>
      </w:r>
      <w:r w:rsidR="007E4D79">
        <w:rPr>
          <w:rFonts w:eastAsiaTheme="majorEastAsia" w:cs="Arial"/>
          <w:szCs w:val="28"/>
        </w:rPr>
        <w:t>s</w:t>
      </w:r>
      <w:r>
        <w:rPr>
          <w:rFonts w:eastAsiaTheme="majorEastAsia" w:cs="Arial"/>
          <w:szCs w:val="28"/>
        </w:rPr>
        <w:t xml:space="preserve"> Compañía</w:t>
      </w:r>
      <w:r w:rsidR="007E4D79">
        <w:rPr>
          <w:rFonts w:eastAsiaTheme="majorEastAsia" w:cs="Arial"/>
          <w:szCs w:val="28"/>
        </w:rPr>
        <w:t>s</w:t>
      </w:r>
      <w:r>
        <w:rPr>
          <w:rFonts w:eastAsiaTheme="majorEastAsia" w:cs="Arial"/>
          <w:szCs w:val="28"/>
        </w:rPr>
        <w:t xml:space="preserve"> O</w:t>
      </w:r>
      <w:r w:rsidR="0069112E" w:rsidRPr="00DE74B8">
        <w:rPr>
          <w:rFonts w:eastAsiaTheme="majorEastAsia" w:cs="Arial"/>
          <w:szCs w:val="28"/>
        </w:rPr>
        <w:t>perador</w:t>
      </w:r>
      <w:r>
        <w:rPr>
          <w:rFonts w:eastAsiaTheme="majorEastAsia" w:cs="Arial"/>
          <w:szCs w:val="28"/>
        </w:rPr>
        <w:t>a</w:t>
      </w:r>
      <w:r w:rsidR="007E4D79">
        <w:rPr>
          <w:rFonts w:eastAsiaTheme="majorEastAsia" w:cs="Arial"/>
          <w:szCs w:val="28"/>
        </w:rPr>
        <w:t>s</w:t>
      </w:r>
      <w:r w:rsidR="0069112E" w:rsidRPr="00DE74B8">
        <w:rPr>
          <w:rFonts w:eastAsiaTheme="majorEastAsia" w:cs="Arial"/>
          <w:szCs w:val="28"/>
        </w:rPr>
        <w:t xml:space="preserve"> deberá</w:t>
      </w:r>
      <w:r w:rsidR="007E4D79">
        <w:rPr>
          <w:rFonts w:eastAsiaTheme="majorEastAsia" w:cs="Arial"/>
          <w:szCs w:val="28"/>
        </w:rPr>
        <w:t>n</w:t>
      </w:r>
      <w:r w:rsidR="0069112E" w:rsidRPr="00DE74B8">
        <w:rPr>
          <w:rFonts w:eastAsiaTheme="majorEastAsia" w:cs="Arial"/>
          <w:szCs w:val="28"/>
        </w:rPr>
        <w:t xml:space="preserve"> realizar anualmente la medición de la eficiencia (CE y DRE)  del proceso de quema de gas natural de las </w:t>
      </w:r>
      <w:r>
        <w:rPr>
          <w:rFonts w:eastAsiaTheme="majorEastAsia" w:cs="Arial"/>
          <w:szCs w:val="28"/>
        </w:rPr>
        <w:t>T</w:t>
      </w:r>
      <w:r w:rsidR="0069112E" w:rsidRPr="00DE74B8">
        <w:rPr>
          <w:rFonts w:eastAsiaTheme="majorEastAsia" w:cs="Arial"/>
          <w:szCs w:val="28"/>
        </w:rPr>
        <w:t>eas del campo que se encuentre en producción y deberá</w:t>
      </w:r>
      <w:r w:rsidR="007E4D79">
        <w:rPr>
          <w:rFonts w:eastAsiaTheme="majorEastAsia" w:cs="Arial"/>
          <w:szCs w:val="28"/>
        </w:rPr>
        <w:t>n</w:t>
      </w:r>
      <w:r w:rsidR="0069112E" w:rsidRPr="00DE74B8">
        <w:rPr>
          <w:rFonts w:eastAsiaTheme="majorEastAsia" w:cs="Arial"/>
          <w:szCs w:val="28"/>
        </w:rPr>
        <w:t xml:space="preserve"> demostrar la conformidad de la medición de eficiencia de las </w:t>
      </w:r>
      <w:r>
        <w:rPr>
          <w:rFonts w:eastAsiaTheme="majorEastAsia" w:cs="Arial"/>
          <w:szCs w:val="28"/>
        </w:rPr>
        <w:t>T</w:t>
      </w:r>
      <w:r w:rsidR="0069112E" w:rsidRPr="00DE74B8">
        <w:rPr>
          <w:rFonts w:eastAsiaTheme="majorEastAsia" w:cs="Arial"/>
          <w:szCs w:val="28"/>
        </w:rPr>
        <w:t>eas a través de</w:t>
      </w:r>
      <w:r>
        <w:rPr>
          <w:rFonts w:eastAsiaTheme="majorEastAsia" w:cs="Arial"/>
          <w:szCs w:val="28"/>
        </w:rPr>
        <w:t>l</w:t>
      </w:r>
      <w:r w:rsidR="0069112E" w:rsidRPr="00DE74B8">
        <w:rPr>
          <w:rFonts w:eastAsiaTheme="majorEastAsia" w:cs="Arial"/>
          <w:szCs w:val="28"/>
        </w:rPr>
        <w:t xml:space="preserve"> </w:t>
      </w:r>
      <w:r>
        <w:rPr>
          <w:rFonts w:eastAsiaTheme="majorEastAsia" w:cs="Arial"/>
          <w:szCs w:val="28"/>
        </w:rPr>
        <w:t>I</w:t>
      </w:r>
      <w:r w:rsidR="0069112E" w:rsidRPr="00DE74B8">
        <w:rPr>
          <w:rFonts w:eastAsiaTheme="majorEastAsia" w:cs="Arial"/>
          <w:szCs w:val="28"/>
        </w:rPr>
        <w:t xml:space="preserve">nforme de </w:t>
      </w:r>
      <w:r>
        <w:rPr>
          <w:rFonts w:eastAsiaTheme="majorEastAsia" w:cs="Arial"/>
          <w:szCs w:val="28"/>
        </w:rPr>
        <w:t>I</w:t>
      </w:r>
      <w:r w:rsidR="0069112E" w:rsidRPr="00DE74B8">
        <w:rPr>
          <w:rFonts w:eastAsiaTheme="majorEastAsia" w:cs="Arial"/>
          <w:szCs w:val="28"/>
        </w:rPr>
        <w:t xml:space="preserve">nspección expedido por un organismo de inspección acreditado por </w:t>
      </w:r>
      <w:r>
        <w:rPr>
          <w:rFonts w:eastAsiaTheme="majorEastAsia" w:cs="Arial"/>
          <w:szCs w:val="28"/>
        </w:rPr>
        <w:t xml:space="preserve">la </w:t>
      </w:r>
      <w:r w:rsidR="0069112E" w:rsidRPr="00DE74B8">
        <w:rPr>
          <w:rFonts w:eastAsiaTheme="majorEastAsia" w:cs="Arial"/>
          <w:szCs w:val="28"/>
        </w:rPr>
        <w:t>ONAC o por un organismo de acreditación miembro de ILAC</w:t>
      </w:r>
      <w:r>
        <w:rPr>
          <w:rFonts w:eastAsiaTheme="majorEastAsia" w:cs="Arial"/>
          <w:szCs w:val="28"/>
        </w:rPr>
        <w:t>,</w:t>
      </w:r>
      <w:r w:rsidR="0069112E" w:rsidRPr="00DE74B8">
        <w:rPr>
          <w:rFonts w:eastAsiaTheme="majorEastAsia" w:cs="Arial"/>
          <w:szCs w:val="28"/>
        </w:rPr>
        <w:t xml:space="preserve"> bajo la </w:t>
      </w:r>
      <w:r w:rsidR="007E4D79">
        <w:rPr>
          <w:rFonts w:eastAsiaTheme="majorEastAsia" w:cs="Arial"/>
          <w:szCs w:val="28"/>
        </w:rPr>
        <w:t>N</w:t>
      </w:r>
      <w:r w:rsidR="0069112E" w:rsidRPr="00DE74B8">
        <w:rPr>
          <w:rFonts w:eastAsiaTheme="majorEastAsia" w:cs="Arial"/>
          <w:szCs w:val="28"/>
        </w:rPr>
        <w:t>orma NTC-ISO/IEC 17020 con alcance a los lineamiento</w:t>
      </w:r>
      <w:r w:rsidR="007E4D79">
        <w:rPr>
          <w:rFonts w:eastAsiaTheme="majorEastAsia" w:cs="Arial"/>
          <w:szCs w:val="28"/>
        </w:rPr>
        <w:t>s</w:t>
      </w:r>
      <w:r w:rsidR="0069112E" w:rsidRPr="00DE74B8">
        <w:rPr>
          <w:rFonts w:eastAsiaTheme="majorEastAsia" w:cs="Arial"/>
          <w:szCs w:val="28"/>
        </w:rPr>
        <w:t xml:space="preserve"> técnicos</w:t>
      </w:r>
      <w:r>
        <w:rPr>
          <w:rFonts w:eastAsiaTheme="majorEastAsia" w:cs="Arial"/>
          <w:szCs w:val="28"/>
        </w:rPr>
        <w:t>,</w:t>
      </w:r>
      <w:r w:rsidR="0069112E" w:rsidRPr="00DE74B8">
        <w:rPr>
          <w:rFonts w:eastAsiaTheme="majorEastAsia" w:cs="Arial"/>
          <w:szCs w:val="28"/>
        </w:rPr>
        <w:t xml:space="preserve"> incluida la eficiencia mínima y la metodología establecida por la Entidad de Fiscalización, o en su defecto, con la Declaración de </w:t>
      </w:r>
      <w:r>
        <w:rPr>
          <w:rFonts w:eastAsiaTheme="majorEastAsia" w:cs="Arial"/>
          <w:szCs w:val="28"/>
        </w:rPr>
        <w:t>C</w:t>
      </w:r>
      <w:r w:rsidR="0069112E" w:rsidRPr="00DE74B8">
        <w:rPr>
          <w:rFonts w:eastAsiaTheme="majorEastAsia" w:cs="Arial"/>
          <w:szCs w:val="28"/>
        </w:rPr>
        <w:t>onformidad</w:t>
      </w:r>
      <w:r>
        <w:rPr>
          <w:rFonts w:eastAsiaTheme="majorEastAsia" w:cs="Arial"/>
          <w:szCs w:val="28"/>
        </w:rPr>
        <w:t xml:space="preserve"> </w:t>
      </w:r>
      <w:r w:rsidR="0069112E" w:rsidRPr="00DE74B8">
        <w:rPr>
          <w:rFonts w:eastAsiaTheme="majorEastAsia" w:cs="Arial"/>
          <w:szCs w:val="28"/>
        </w:rPr>
        <w:t>- Declaración de Primera Parte, de la que trata el artículo 3 de</w:t>
      </w:r>
      <w:r w:rsidR="00DE74B8">
        <w:rPr>
          <w:rFonts w:eastAsiaTheme="majorEastAsia" w:cs="Arial"/>
          <w:szCs w:val="28"/>
        </w:rPr>
        <w:t xml:space="preserve"> </w:t>
      </w:r>
      <w:r w:rsidR="0069112E" w:rsidRPr="00DE74B8">
        <w:rPr>
          <w:rFonts w:eastAsiaTheme="majorEastAsia" w:cs="Arial"/>
          <w:szCs w:val="28"/>
        </w:rPr>
        <w:t>la Resolución 40317</w:t>
      </w:r>
      <w:r w:rsidR="00DE74B8">
        <w:rPr>
          <w:rFonts w:eastAsiaTheme="majorEastAsia" w:cs="Arial"/>
          <w:szCs w:val="28"/>
        </w:rPr>
        <w:t xml:space="preserve"> </w:t>
      </w:r>
      <w:r w:rsidR="0069112E" w:rsidRPr="00DE74B8">
        <w:rPr>
          <w:rFonts w:eastAsiaTheme="majorEastAsia" w:cs="Arial"/>
          <w:szCs w:val="28"/>
        </w:rPr>
        <w:t>de 2023  que modific</w:t>
      </w:r>
      <w:r>
        <w:rPr>
          <w:rFonts w:eastAsiaTheme="majorEastAsia" w:cs="Arial"/>
          <w:szCs w:val="28"/>
        </w:rPr>
        <w:t>ó</w:t>
      </w:r>
      <w:r w:rsidR="0069112E" w:rsidRPr="00DE74B8">
        <w:rPr>
          <w:rFonts w:eastAsiaTheme="majorEastAsia" w:cs="Arial"/>
          <w:szCs w:val="28"/>
        </w:rPr>
        <w:t xml:space="preserve"> el artículo 22 de la Resolución 40066 de 2023. </w:t>
      </w:r>
      <w:r>
        <w:rPr>
          <w:rFonts w:eastAsiaTheme="majorEastAsia" w:cs="Arial"/>
          <w:szCs w:val="28"/>
        </w:rPr>
        <w:t>El</w:t>
      </w:r>
      <w:r w:rsidRPr="00DE74B8">
        <w:rPr>
          <w:rFonts w:eastAsiaTheme="majorEastAsia" w:cs="Arial"/>
          <w:szCs w:val="28"/>
        </w:rPr>
        <w:t xml:space="preserve"> </w:t>
      </w:r>
      <w:r w:rsidR="0069112E" w:rsidRPr="00DE74B8">
        <w:rPr>
          <w:rFonts w:eastAsiaTheme="majorEastAsia" w:cs="Arial"/>
          <w:szCs w:val="28"/>
        </w:rPr>
        <w:t xml:space="preserve">Informe de </w:t>
      </w:r>
      <w:r>
        <w:rPr>
          <w:rFonts w:eastAsiaTheme="majorEastAsia" w:cs="Arial"/>
          <w:szCs w:val="28"/>
        </w:rPr>
        <w:t>I</w:t>
      </w:r>
      <w:r w:rsidR="0069112E" w:rsidRPr="00DE74B8">
        <w:rPr>
          <w:rFonts w:eastAsiaTheme="majorEastAsia" w:cs="Arial"/>
          <w:szCs w:val="28"/>
        </w:rPr>
        <w:t>nspección deberá</w:t>
      </w:r>
      <w:r w:rsidR="00DE74B8">
        <w:rPr>
          <w:rFonts w:eastAsiaTheme="majorEastAsia" w:cs="Arial"/>
          <w:szCs w:val="28"/>
        </w:rPr>
        <w:t xml:space="preserve"> </w:t>
      </w:r>
      <w:r w:rsidR="0069112E" w:rsidRPr="00DE74B8">
        <w:rPr>
          <w:rFonts w:eastAsiaTheme="majorEastAsia" w:cs="Arial"/>
          <w:szCs w:val="28"/>
        </w:rPr>
        <w:t xml:space="preserve">ser reportado a la Entidad de Fiscalización anualmente </w:t>
      </w:r>
      <w:r>
        <w:rPr>
          <w:rFonts w:eastAsiaTheme="majorEastAsia" w:cs="Arial"/>
          <w:szCs w:val="28"/>
        </w:rPr>
        <w:t xml:space="preserve">mediante </w:t>
      </w:r>
      <w:r w:rsidR="007E4D79">
        <w:rPr>
          <w:rFonts w:eastAsiaTheme="majorEastAsia" w:cs="Arial"/>
          <w:szCs w:val="28"/>
        </w:rPr>
        <w:t>e</w:t>
      </w:r>
      <w:r w:rsidR="0069112E" w:rsidRPr="00DE74B8">
        <w:rPr>
          <w:rFonts w:eastAsiaTheme="majorEastAsia" w:cs="Arial"/>
          <w:szCs w:val="28"/>
        </w:rPr>
        <w:t>l informe de resultados</w:t>
      </w:r>
      <w:r w:rsidR="00DE74B8">
        <w:rPr>
          <w:rFonts w:eastAsiaTheme="majorEastAsia" w:cs="Arial"/>
          <w:szCs w:val="28"/>
        </w:rPr>
        <w:t xml:space="preserve"> </w:t>
      </w:r>
      <w:r w:rsidR="0069112E" w:rsidRPr="00DE74B8">
        <w:rPr>
          <w:rFonts w:eastAsiaTheme="majorEastAsia" w:cs="Arial"/>
          <w:szCs w:val="28"/>
        </w:rPr>
        <w:t>con la estructura definida en el ítem 11</w:t>
      </w:r>
      <w:r w:rsidR="00DE74B8">
        <w:rPr>
          <w:rFonts w:eastAsiaTheme="majorEastAsia" w:cs="Arial"/>
          <w:szCs w:val="28"/>
        </w:rPr>
        <w:t xml:space="preserve"> </w:t>
      </w:r>
      <w:r w:rsidR="0069112E" w:rsidRPr="00DE74B8">
        <w:rPr>
          <w:rFonts w:eastAsiaTheme="majorEastAsia" w:cs="Arial"/>
          <w:szCs w:val="28"/>
        </w:rPr>
        <w:t xml:space="preserve">del presente documento, dentro de los </w:t>
      </w:r>
      <w:r w:rsidR="00DE74B8" w:rsidRPr="00DE74B8">
        <w:rPr>
          <w:rFonts w:eastAsiaTheme="majorEastAsia" w:cs="Arial"/>
          <w:szCs w:val="28"/>
        </w:rPr>
        <w:t>30 días</w:t>
      </w:r>
      <w:r w:rsidR="0069112E" w:rsidRPr="00DE74B8">
        <w:rPr>
          <w:rFonts w:eastAsiaTheme="majorEastAsia" w:cs="Arial"/>
          <w:szCs w:val="28"/>
        </w:rPr>
        <w:t xml:space="preserve"> calendario posteriores a </w:t>
      </w:r>
      <w:r>
        <w:rPr>
          <w:rFonts w:eastAsiaTheme="majorEastAsia" w:cs="Arial"/>
          <w:szCs w:val="28"/>
        </w:rPr>
        <w:t>la</w:t>
      </w:r>
      <w:r w:rsidRPr="00DE74B8">
        <w:rPr>
          <w:rFonts w:eastAsiaTheme="majorEastAsia" w:cs="Arial"/>
          <w:szCs w:val="28"/>
        </w:rPr>
        <w:t xml:space="preserve"> </w:t>
      </w:r>
      <w:r w:rsidR="0069112E" w:rsidRPr="00DE74B8">
        <w:rPr>
          <w:rFonts w:eastAsiaTheme="majorEastAsia" w:cs="Arial"/>
          <w:szCs w:val="28"/>
        </w:rPr>
        <w:t>inspección</w:t>
      </w:r>
      <w:r w:rsidR="0069112E" w:rsidRPr="0069112E">
        <w:rPr>
          <w:rFonts w:eastAsiaTheme="majorEastAsia" w:cs="Arial"/>
          <w:sz w:val="20"/>
          <w:szCs w:val="28"/>
        </w:rPr>
        <w:t>.</w:t>
      </w:r>
    </w:p>
    <w:p w14:paraId="604F204F" w14:textId="77777777" w:rsidR="00E53E29" w:rsidRPr="00E53E29" w:rsidRDefault="00E53E29" w:rsidP="00E53E29">
      <w:pPr>
        <w:rPr>
          <w:rFonts w:eastAsiaTheme="majorEastAsia" w:cs="Arial"/>
          <w:sz w:val="28"/>
          <w:szCs w:val="28"/>
        </w:rPr>
      </w:pPr>
    </w:p>
    <w:p w14:paraId="0A05BB86" w14:textId="553B82BF" w:rsidR="00DE74B8" w:rsidRDefault="00DE74B8" w:rsidP="00474CD3">
      <w:pPr>
        <w:pStyle w:val="Ttulo1"/>
        <w:numPr>
          <w:ilvl w:val="0"/>
          <w:numId w:val="5"/>
        </w:numPr>
        <w:ind w:left="993" w:hanging="633"/>
        <w:jc w:val="both"/>
      </w:pPr>
      <w:bookmarkStart w:id="46" w:name="_Toc145672310"/>
      <w:r w:rsidRPr="00474CD3">
        <w:rPr>
          <w:rFonts w:cs="Arial"/>
        </w:rPr>
        <w:t xml:space="preserve">PRESENTACIÓN Y ESTRUCTURA DEL INFORME DE </w:t>
      </w:r>
      <w:r w:rsidR="009C2566" w:rsidRPr="00474CD3">
        <w:rPr>
          <w:rFonts w:cs="Arial"/>
        </w:rPr>
        <w:t xml:space="preserve">EVALUACIÓN DE </w:t>
      </w:r>
      <w:r w:rsidRPr="00474CD3">
        <w:rPr>
          <w:rFonts w:cs="Arial"/>
        </w:rPr>
        <w:t>EFICIENCIA DE COMBUSTIÓN</w:t>
      </w:r>
      <w:r w:rsidR="00BA547E" w:rsidRPr="00474CD3">
        <w:rPr>
          <w:rFonts w:cs="Arial"/>
        </w:rPr>
        <w:t xml:space="preserve"> EN TEA</w:t>
      </w:r>
      <w:r w:rsidR="00A32C65" w:rsidRPr="00474CD3">
        <w:rPr>
          <w:rFonts w:cs="Arial"/>
        </w:rPr>
        <w:t xml:space="preserve"> – IEC</w:t>
      </w:r>
      <w:r w:rsidR="00A32C65" w:rsidRPr="00CE04B0">
        <w:t>.</w:t>
      </w:r>
      <w:bookmarkEnd w:id="46"/>
    </w:p>
    <w:p w14:paraId="0236F98C" w14:textId="77777777" w:rsidR="00CE04B0" w:rsidRPr="00CE04B0" w:rsidRDefault="00CE04B0" w:rsidP="00CE04B0">
      <w:pPr>
        <w:rPr>
          <w:rFonts w:eastAsiaTheme="majorEastAsia"/>
        </w:rPr>
      </w:pPr>
    </w:p>
    <w:p w14:paraId="25D0CC1F" w14:textId="51D3A1D3" w:rsidR="00DE74B8" w:rsidRPr="00474CD3" w:rsidRDefault="00EC4FDF" w:rsidP="002770A5">
      <w:pPr>
        <w:jc w:val="both"/>
        <w:rPr>
          <w:rFonts w:eastAsiaTheme="majorEastAsia" w:cs="Arial"/>
          <w:szCs w:val="22"/>
        </w:rPr>
      </w:pPr>
      <w:r w:rsidRPr="00474CD3">
        <w:rPr>
          <w:rFonts w:eastAsiaTheme="majorEastAsia" w:cs="Arial"/>
          <w:szCs w:val="22"/>
        </w:rPr>
        <w:t xml:space="preserve">A </w:t>
      </w:r>
      <w:proofErr w:type="gramStart"/>
      <w:r w:rsidR="00A32C65" w:rsidRPr="00474CD3">
        <w:rPr>
          <w:rFonts w:eastAsiaTheme="majorEastAsia" w:cs="Arial"/>
          <w:szCs w:val="22"/>
        </w:rPr>
        <w:t>continuación</w:t>
      </w:r>
      <w:proofErr w:type="gramEnd"/>
      <w:r w:rsidRPr="00474CD3">
        <w:rPr>
          <w:rFonts w:eastAsiaTheme="majorEastAsia" w:cs="Arial"/>
          <w:szCs w:val="22"/>
        </w:rPr>
        <w:t xml:space="preserve"> se presenta el detalle del contenido del Informe de Eficiencia de Combustión de Tea</w:t>
      </w:r>
      <w:r w:rsidR="00557638" w:rsidRPr="00474CD3">
        <w:rPr>
          <w:rFonts w:eastAsiaTheme="majorEastAsia" w:cs="Arial"/>
          <w:szCs w:val="22"/>
        </w:rPr>
        <w:t>. E</w:t>
      </w:r>
      <w:r w:rsidR="003C3C23" w:rsidRPr="00474CD3">
        <w:rPr>
          <w:rFonts w:eastAsiaTheme="majorEastAsia" w:cs="Arial"/>
          <w:szCs w:val="22"/>
        </w:rPr>
        <w:t xml:space="preserve">sta información se debe reportar de manera independiente para cada una de las Teas que </w:t>
      </w:r>
      <w:r w:rsidR="00512BF0">
        <w:rPr>
          <w:rFonts w:eastAsiaTheme="majorEastAsia" w:cs="Arial"/>
          <w:szCs w:val="22"/>
        </w:rPr>
        <w:t>la</w:t>
      </w:r>
      <w:r w:rsidR="007E4D79">
        <w:rPr>
          <w:rFonts w:eastAsiaTheme="majorEastAsia" w:cs="Arial"/>
          <w:szCs w:val="22"/>
        </w:rPr>
        <w:t>s</w:t>
      </w:r>
      <w:r w:rsidR="003C3C23" w:rsidRPr="00474CD3">
        <w:rPr>
          <w:rFonts w:eastAsiaTheme="majorEastAsia" w:cs="Arial"/>
          <w:szCs w:val="22"/>
        </w:rPr>
        <w:t xml:space="preserve"> Operador</w:t>
      </w:r>
      <w:r w:rsidR="00512BF0">
        <w:rPr>
          <w:rFonts w:eastAsiaTheme="majorEastAsia" w:cs="Arial"/>
          <w:szCs w:val="22"/>
        </w:rPr>
        <w:t>a</w:t>
      </w:r>
      <w:r w:rsidR="007E4D79">
        <w:rPr>
          <w:rFonts w:eastAsiaTheme="majorEastAsia" w:cs="Arial"/>
          <w:szCs w:val="22"/>
        </w:rPr>
        <w:t>s</w:t>
      </w:r>
      <w:r w:rsidR="003C3C23" w:rsidRPr="00474CD3">
        <w:rPr>
          <w:rFonts w:eastAsiaTheme="majorEastAsia" w:cs="Arial"/>
          <w:szCs w:val="22"/>
        </w:rPr>
        <w:t xml:space="preserve"> tenga</w:t>
      </w:r>
      <w:r w:rsidR="007E4D79">
        <w:rPr>
          <w:rFonts w:eastAsiaTheme="majorEastAsia" w:cs="Arial"/>
          <w:szCs w:val="22"/>
        </w:rPr>
        <w:t>n</w:t>
      </w:r>
      <w:r w:rsidR="003C3C23" w:rsidRPr="00474CD3">
        <w:rPr>
          <w:rFonts w:eastAsiaTheme="majorEastAsia" w:cs="Arial"/>
          <w:szCs w:val="22"/>
        </w:rPr>
        <w:t xml:space="preserve"> distribuidas en el país</w:t>
      </w:r>
      <w:r w:rsidR="00512BF0">
        <w:rPr>
          <w:rFonts w:eastAsiaTheme="majorEastAsia" w:cs="Arial"/>
          <w:szCs w:val="22"/>
        </w:rPr>
        <w:t>, así:</w:t>
      </w:r>
    </w:p>
    <w:p w14:paraId="67509689" w14:textId="58AC2A7A" w:rsidR="00DE74B8" w:rsidRPr="00474CD3" w:rsidRDefault="00DE74B8" w:rsidP="00DE74B8">
      <w:pPr>
        <w:rPr>
          <w:rFonts w:eastAsiaTheme="majorEastAsia" w:cs="Arial"/>
          <w:szCs w:val="22"/>
        </w:rPr>
      </w:pPr>
    </w:p>
    <w:p w14:paraId="62CAA441" w14:textId="3EF3ED1A" w:rsidR="00A32C65" w:rsidRPr="00474CD3" w:rsidRDefault="00A32C65" w:rsidP="00A32C65">
      <w:pPr>
        <w:pStyle w:val="Prrafodelista"/>
        <w:numPr>
          <w:ilvl w:val="0"/>
          <w:numId w:val="31"/>
        </w:numPr>
        <w:rPr>
          <w:rFonts w:eastAsiaTheme="majorEastAsia" w:cs="Arial"/>
          <w:szCs w:val="22"/>
          <w:u w:val="single"/>
        </w:rPr>
      </w:pPr>
      <w:r w:rsidRPr="00474CD3">
        <w:rPr>
          <w:rFonts w:eastAsiaTheme="majorEastAsia" w:cs="Arial"/>
          <w:szCs w:val="22"/>
          <w:u w:val="single"/>
        </w:rPr>
        <w:t xml:space="preserve">Identificación de la </w:t>
      </w:r>
      <w:r w:rsidR="00512BF0">
        <w:rPr>
          <w:rFonts w:eastAsiaTheme="majorEastAsia" w:cs="Arial"/>
          <w:szCs w:val="22"/>
          <w:u w:val="single"/>
        </w:rPr>
        <w:t>O</w:t>
      </w:r>
      <w:r w:rsidRPr="00474CD3">
        <w:rPr>
          <w:rFonts w:eastAsiaTheme="majorEastAsia" w:cs="Arial"/>
          <w:szCs w:val="22"/>
          <w:u w:val="single"/>
        </w:rPr>
        <w:t>peradora:</w:t>
      </w:r>
    </w:p>
    <w:p w14:paraId="608C885E" w14:textId="77777777" w:rsidR="00A32C65" w:rsidRPr="00474CD3" w:rsidRDefault="00A32C65" w:rsidP="00A32C65">
      <w:pPr>
        <w:pStyle w:val="Prrafodelista"/>
        <w:rPr>
          <w:rFonts w:eastAsiaTheme="majorEastAsia" w:cs="Arial"/>
          <w:szCs w:val="22"/>
        </w:rPr>
      </w:pPr>
    </w:p>
    <w:p w14:paraId="130C447B" w14:textId="0AB9F249" w:rsidR="00A32C65" w:rsidRPr="00474CD3" w:rsidRDefault="00A32C65" w:rsidP="00A32C65">
      <w:pPr>
        <w:pStyle w:val="Prrafodelista"/>
        <w:numPr>
          <w:ilvl w:val="0"/>
          <w:numId w:val="30"/>
        </w:numPr>
        <w:rPr>
          <w:rFonts w:eastAsiaTheme="majorEastAsia" w:cs="Arial"/>
          <w:szCs w:val="22"/>
        </w:rPr>
      </w:pPr>
      <w:r w:rsidRPr="00474CD3">
        <w:rPr>
          <w:rFonts w:eastAsiaTheme="majorEastAsia" w:cs="Arial"/>
          <w:szCs w:val="22"/>
        </w:rPr>
        <w:lastRenderedPageBreak/>
        <w:t>Identificador único ante la ANH (NIT)</w:t>
      </w:r>
      <w:r w:rsidR="00512BF0">
        <w:rPr>
          <w:rFonts w:eastAsiaTheme="majorEastAsia" w:cs="Arial"/>
          <w:szCs w:val="22"/>
        </w:rPr>
        <w:t>.</w:t>
      </w:r>
    </w:p>
    <w:p w14:paraId="58ABE79E" w14:textId="2EDBC2EE" w:rsidR="00A32C65" w:rsidRPr="00474CD3" w:rsidRDefault="00A32C65" w:rsidP="00A32C65">
      <w:pPr>
        <w:pStyle w:val="Prrafodelista"/>
        <w:numPr>
          <w:ilvl w:val="0"/>
          <w:numId w:val="30"/>
        </w:numPr>
        <w:rPr>
          <w:rFonts w:eastAsiaTheme="majorEastAsia" w:cs="Arial"/>
          <w:szCs w:val="22"/>
        </w:rPr>
      </w:pPr>
      <w:r w:rsidRPr="00474CD3">
        <w:rPr>
          <w:rFonts w:eastAsiaTheme="majorEastAsia" w:cs="Arial"/>
          <w:szCs w:val="22"/>
        </w:rPr>
        <w:t xml:space="preserve">Nombre de la </w:t>
      </w:r>
      <w:r w:rsidR="00512BF0">
        <w:rPr>
          <w:rFonts w:eastAsiaTheme="majorEastAsia" w:cs="Arial"/>
          <w:szCs w:val="22"/>
        </w:rPr>
        <w:t>O</w:t>
      </w:r>
      <w:r w:rsidRPr="00474CD3">
        <w:rPr>
          <w:rFonts w:eastAsiaTheme="majorEastAsia" w:cs="Arial"/>
          <w:szCs w:val="22"/>
        </w:rPr>
        <w:t>peradora</w:t>
      </w:r>
      <w:r w:rsidR="00512BF0">
        <w:rPr>
          <w:rFonts w:eastAsiaTheme="majorEastAsia" w:cs="Arial"/>
          <w:szCs w:val="22"/>
        </w:rPr>
        <w:t>.</w:t>
      </w:r>
    </w:p>
    <w:p w14:paraId="55E1766F" w14:textId="39F71B07" w:rsidR="00A32C65" w:rsidRPr="00474CD3" w:rsidRDefault="00A32C65" w:rsidP="00A32C65">
      <w:pPr>
        <w:pStyle w:val="Prrafodelista"/>
        <w:numPr>
          <w:ilvl w:val="0"/>
          <w:numId w:val="30"/>
        </w:numPr>
        <w:rPr>
          <w:rFonts w:eastAsiaTheme="majorEastAsia" w:cs="Arial"/>
          <w:szCs w:val="22"/>
        </w:rPr>
      </w:pPr>
      <w:r w:rsidRPr="00474CD3">
        <w:rPr>
          <w:rFonts w:eastAsiaTheme="majorEastAsia" w:cs="Arial"/>
          <w:szCs w:val="22"/>
        </w:rPr>
        <w:t>Identificación y datos de contacto del Representante Legal</w:t>
      </w:r>
      <w:r w:rsidR="00512BF0">
        <w:rPr>
          <w:rFonts w:eastAsiaTheme="majorEastAsia" w:cs="Arial"/>
          <w:szCs w:val="22"/>
        </w:rPr>
        <w:t>.</w:t>
      </w:r>
    </w:p>
    <w:p w14:paraId="45895897" w14:textId="3FD1FF0D" w:rsidR="00A32C65" w:rsidRPr="00474CD3" w:rsidRDefault="00A32C65" w:rsidP="00A32C65">
      <w:pPr>
        <w:pStyle w:val="Prrafodelista"/>
        <w:numPr>
          <w:ilvl w:val="0"/>
          <w:numId w:val="30"/>
        </w:numPr>
        <w:rPr>
          <w:rFonts w:eastAsiaTheme="majorEastAsia" w:cs="Arial"/>
          <w:szCs w:val="22"/>
        </w:rPr>
      </w:pPr>
      <w:r w:rsidRPr="00474CD3">
        <w:rPr>
          <w:rFonts w:eastAsiaTheme="majorEastAsia" w:cs="Arial"/>
          <w:szCs w:val="22"/>
        </w:rPr>
        <w:t xml:space="preserve">Identificación y datos de contacto del profesional </w:t>
      </w:r>
      <w:r w:rsidR="007E4D79">
        <w:rPr>
          <w:rFonts w:eastAsiaTheme="majorEastAsia" w:cs="Arial"/>
          <w:szCs w:val="22"/>
        </w:rPr>
        <w:t>r</w:t>
      </w:r>
      <w:r w:rsidRPr="00474CD3">
        <w:rPr>
          <w:rFonts w:eastAsiaTheme="majorEastAsia" w:cs="Arial"/>
          <w:szCs w:val="22"/>
        </w:rPr>
        <w:t xml:space="preserve">esponsable del Informe de Eficiencia de Combustión de la </w:t>
      </w:r>
      <w:r w:rsidR="002770A5" w:rsidRPr="00474CD3">
        <w:rPr>
          <w:rFonts w:eastAsiaTheme="majorEastAsia" w:cs="Arial"/>
          <w:szCs w:val="22"/>
        </w:rPr>
        <w:t>Tea</w:t>
      </w:r>
      <w:r w:rsidR="00512BF0">
        <w:rPr>
          <w:rFonts w:eastAsiaTheme="majorEastAsia" w:cs="Arial"/>
          <w:szCs w:val="22"/>
        </w:rPr>
        <w:t>.</w:t>
      </w:r>
      <w:r w:rsidRPr="00474CD3">
        <w:rPr>
          <w:rFonts w:eastAsiaTheme="majorEastAsia" w:cs="Arial"/>
          <w:szCs w:val="22"/>
        </w:rPr>
        <w:t xml:space="preserve">     </w:t>
      </w:r>
    </w:p>
    <w:p w14:paraId="734662FA" w14:textId="6E5006D4" w:rsidR="00DE74B8" w:rsidRPr="00192B2E" w:rsidRDefault="00DE74B8" w:rsidP="00DE74B8">
      <w:pPr>
        <w:rPr>
          <w:rFonts w:eastAsiaTheme="majorEastAsia" w:cs="Arial"/>
          <w:szCs w:val="22"/>
        </w:rPr>
      </w:pPr>
    </w:p>
    <w:p w14:paraId="05A68B60" w14:textId="41A0A3EC" w:rsidR="00C550BB" w:rsidRPr="00474CD3" w:rsidRDefault="00C550BB" w:rsidP="00C550BB">
      <w:pPr>
        <w:pStyle w:val="Prrafodelista"/>
        <w:numPr>
          <w:ilvl w:val="0"/>
          <w:numId w:val="31"/>
        </w:numPr>
        <w:rPr>
          <w:rFonts w:eastAsiaTheme="majorEastAsia" w:cs="Arial"/>
          <w:szCs w:val="22"/>
          <w:u w:val="single"/>
        </w:rPr>
      </w:pPr>
      <w:r w:rsidRPr="00474CD3">
        <w:rPr>
          <w:rFonts w:eastAsiaTheme="majorEastAsia" w:cs="Arial"/>
          <w:szCs w:val="22"/>
          <w:u w:val="single"/>
        </w:rPr>
        <w:t xml:space="preserve">Información de la </w:t>
      </w:r>
      <w:r w:rsidR="00512BF0">
        <w:rPr>
          <w:rFonts w:eastAsiaTheme="majorEastAsia" w:cs="Arial"/>
          <w:szCs w:val="22"/>
          <w:u w:val="single"/>
        </w:rPr>
        <w:t>f</w:t>
      </w:r>
      <w:r w:rsidRPr="00474CD3">
        <w:rPr>
          <w:rFonts w:eastAsiaTheme="majorEastAsia" w:cs="Arial"/>
          <w:szCs w:val="22"/>
          <w:u w:val="single"/>
        </w:rPr>
        <w:t>acilidad donde se encuentran los sistemas de combustión:</w:t>
      </w:r>
    </w:p>
    <w:p w14:paraId="613D9859" w14:textId="77777777" w:rsidR="00C550BB" w:rsidRPr="00474CD3" w:rsidRDefault="00C550BB" w:rsidP="00C550BB">
      <w:pPr>
        <w:pStyle w:val="Prrafodelista"/>
        <w:rPr>
          <w:rFonts w:eastAsiaTheme="majorEastAsia" w:cs="Arial"/>
          <w:szCs w:val="22"/>
        </w:rPr>
      </w:pPr>
    </w:p>
    <w:p w14:paraId="130A6A32" w14:textId="4ABD5C37" w:rsidR="00C550BB" w:rsidRPr="00474CD3" w:rsidRDefault="00C550BB" w:rsidP="00C550BB">
      <w:pPr>
        <w:pStyle w:val="Prrafodelista"/>
        <w:numPr>
          <w:ilvl w:val="0"/>
          <w:numId w:val="30"/>
        </w:numPr>
        <w:rPr>
          <w:rFonts w:eastAsiaTheme="majorEastAsia" w:cs="Arial"/>
          <w:szCs w:val="22"/>
        </w:rPr>
      </w:pPr>
      <w:r w:rsidRPr="00474CD3">
        <w:rPr>
          <w:rFonts w:eastAsiaTheme="majorEastAsia" w:cs="Arial"/>
          <w:szCs w:val="22"/>
        </w:rPr>
        <w:t xml:space="preserve">Facilidad – Batería – Estación (según la definición de la </w:t>
      </w:r>
      <w:r w:rsidR="007E4D79">
        <w:rPr>
          <w:rFonts w:eastAsiaTheme="majorEastAsia" w:cs="Arial"/>
          <w:szCs w:val="22"/>
        </w:rPr>
        <w:t>r</w:t>
      </w:r>
      <w:r w:rsidRPr="00474CD3">
        <w:rPr>
          <w:rFonts w:eastAsiaTheme="majorEastAsia" w:cs="Arial"/>
          <w:szCs w:val="22"/>
        </w:rPr>
        <w:t>esolución)</w:t>
      </w:r>
      <w:r w:rsidR="00512BF0">
        <w:rPr>
          <w:rFonts w:eastAsiaTheme="majorEastAsia" w:cs="Arial"/>
          <w:szCs w:val="22"/>
        </w:rPr>
        <w:t>.</w:t>
      </w:r>
    </w:p>
    <w:p w14:paraId="1198CE2B" w14:textId="66354B75" w:rsidR="00C550BB" w:rsidRPr="00474CD3" w:rsidRDefault="00C550BB" w:rsidP="00C550BB">
      <w:pPr>
        <w:pStyle w:val="Prrafodelista"/>
        <w:numPr>
          <w:ilvl w:val="0"/>
          <w:numId w:val="30"/>
        </w:numPr>
        <w:rPr>
          <w:rFonts w:eastAsiaTheme="majorEastAsia" w:cs="Arial"/>
          <w:szCs w:val="22"/>
        </w:rPr>
      </w:pPr>
      <w:r w:rsidRPr="00474CD3">
        <w:rPr>
          <w:rFonts w:eastAsiaTheme="majorEastAsia" w:cs="Arial"/>
          <w:szCs w:val="22"/>
        </w:rPr>
        <w:t>Ubicación con coordenadas geográficas</w:t>
      </w:r>
      <w:r w:rsidR="00512BF0">
        <w:rPr>
          <w:rFonts w:eastAsiaTheme="majorEastAsia" w:cs="Arial"/>
          <w:szCs w:val="22"/>
        </w:rPr>
        <w:t>.</w:t>
      </w:r>
    </w:p>
    <w:p w14:paraId="6626DDF3" w14:textId="6104A480" w:rsidR="00C550BB" w:rsidRPr="00474CD3" w:rsidRDefault="00C550BB" w:rsidP="00C550BB">
      <w:pPr>
        <w:pStyle w:val="Prrafodelista"/>
        <w:numPr>
          <w:ilvl w:val="0"/>
          <w:numId w:val="30"/>
        </w:numPr>
        <w:rPr>
          <w:rFonts w:eastAsiaTheme="majorEastAsia" w:cs="Arial"/>
          <w:szCs w:val="22"/>
        </w:rPr>
      </w:pPr>
      <w:r w:rsidRPr="00474CD3">
        <w:rPr>
          <w:rFonts w:eastAsiaTheme="majorEastAsia" w:cs="Arial"/>
          <w:szCs w:val="22"/>
        </w:rPr>
        <w:t>Período de Informe de Evaluación: Determinar el período del informe que se reporta (</w:t>
      </w:r>
      <w:r w:rsidR="00434793" w:rsidRPr="00474CD3">
        <w:rPr>
          <w:rFonts w:eastAsiaTheme="majorEastAsia" w:cs="Arial"/>
          <w:szCs w:val="22"/>
        </w:rPr>
        <w:t xml:space="preserve">fecha </w:t>
      </w:r>
      <w:r w:rsidRPr="00474CD3">
        <w:rPr>
          <w:rFonts w:eastAsiaTheme="majorEastAsia" w:cs="Arial"/>
          <w:szCs w:val="22"/>
        </w:rPr>
        <w:t>emisión/año).</w:t>
      </w:r>
    </w:p>
    <w:p w14:paraId="1C1419F0" w14:textId="3FCF4089" w:rsidR="00C550BB" w:rsidRPr="00474CD3" w:rsidRDefault="00434793" w:rsidP="00C550BB">
      <w:pPr>
        <w:pStyle w:val="Prrafodelista"/>
        <w:numPr>
          <w:ilvl w:val="0"/>
          <w:numId w:val="30"/>
        </w:numPr>
        <w:rPr>
          <w:rFonts w:eastAsiaTheme="majorEastAsia" w:cs="Arial"/>
          <w:szCs w:val="22"/>
        </w:rPr>
      </w:pPr>
      <w:r w:rsidRPr="00474CD3">
        <w:rPr>
          <w:rFonts w:eastAsiaTheme="majorEastAsia" w:cs="Arial"/>
          <w:szCs w:val="22"/>
        </w:rPr>
        <w:t>Facilidad nueva o existente</w:t>
      </w:r>
      <w:r w:rsidR="00C550BB" w:rsidRPr="00474CD3">
        <w:rPr>
          <w:rFonts w:eastAsiaTheme="majorEastAsia" w:cs="Arial"/>
          <w:szCs w:val="22"/>
        </w:rPr>
        <w:t xml:space="preserve">.      </w:t>
      </w:r>
    </w:p>
    <w:p w14:paraId="0CEBA0DD" w14:textId="77777777" w:rsidR="00434793" w:rsidRPr="00474CD3" w:rsidRDefault="00434793" w:rsidP="00434793">
      <w:pPr>
        <w:rPr>
          <w:rFonts w:eastAsiaTheme="majorEastAsia" w:cs="Arial"/>
          <w:szCs w:val="22"/>
        </w:rPr>
      </w:pPr>
    </w:p>
    <w:p w14:paraId="343363A7" w14:textId="370DF087" w:rsidR="00434793" w:rsidRPr="00474CD3" w:rsidRDefault="00434793" w:rsidP="00434793">
      <w:pPr>
        <w:pStyle w:val="Prrafodelista"/>
        <w:numPr>
          <w:ilvl w:val="0"/>
          <w:numId w:val="31"/>
        </w:numPr>
        <w:rPr>
          <w:rFonts w:eastAsiaTheme="majorEastAsia" w:cs="Arial"/>
          <w:szCs w:val="22"/>
          <w:u w:val="single"/>
        </w:rPr>
      </w:pPr>
      <w:r w:rsidRPr="00474CD3">
        <w:rPr>
          <w:rFonts w:eastAsiaTheme="majorEastAsia" w:cs="Arial"/>
          <w:szCs w:val="22"/>
          <w:u w:val="single"/>
        </w:rPr>
        <w:t>Información de</w:t>
      </w:r>
      <w:r w:rsidR="003C3C23" w:rsidRPr="00474CD3">
        <w:rPr>
          <w:rFonts w:eastAsiaTheme="majorEastAsia" w:cs="Arial"/>
          <w:szCs w:val="22"/>
          <w:u w:val="single"/>
        </w:rPr>
        <w:t>l</w:t>
      </w:r>
      <w:r w:rsidRPr="00474CD3">
        <w:rPr>
          <w:rFonts w:eastAsiaTheme="majorEastAsia" w:cs="Arial"/>
          <w:szCs w:val="22"/>
          <w:u w:val="single"/>
        </w:rPr>
        <w:t xml:space="preserve"> sistema de combustión:</w:t>
      </w:r>
    </w:p>
    <w:p w14:paraId="3282BFFB" w14:textId="77777777" w:rsidR="00434793" w:rsidRPr="00474CD3" w:rsidRDefault="00434793" w:rsidP="00434793">
      <w:pPr>
        <w:pStyle w:val="Prrafodelista"/>
        <w:rPr>
          <w:rFonts w:eastAsiaTheme="majorEastAsia" w:cs="Arial"/>
          <w:szCs w:val="22"/>
        </w:rPr>
      </w:pPr>
    </w:p>
    <w:p w14:paraId="33847E2B" w14:textId="5D878EC2" w:rsidR="00845529" w:rsidRPr="00474CD3" w:rsidRDefault="00845529" w:rsidP="00434793">
      <w:pPr>
        <w:pStyle w:val="Prrafodelista"/>
        <w:numPr>
          <w:ilvl w:val="0"/>
          <w:numId w:val="30"/>
        </w:numPr>
        <w:rPr>
          <w:rFonts w:eastAsiaTheme="majorEastAsia" w:cs="Arial"/>
          <w:szCs w:val="22"/>
        </w:rPr>
      </w:pPr>
      <w:r w:rsidRPr="00474CD3">
        <w:rPr>
          <w:rFonts w:eastAsiaTheme="majorEastAsia" w:cs="Arial"/>
          <w:szCs w:val="22"/>
        </w:rPr>
        <w:t>I</w:t>
      </w:r>
      <w:r w:rsidR="00512BF0">
        <w:rPr>
          <w:rFonts w:eastAsiaTheme="majorEastAsia" w:cs="Arial"/>
          <w:szCs w:val="22"/>
        </w:rPr>
        <w:t>d</w:t>
      </w:r>
      <w:r w:rsidRPr="00474CD3">
        <w:rPr>
          <w:rFonts w:eastAsiaTheme="majorEastAsia" w:cs="Arial"/>
          <w:szCs w:val="22"/>
        </w:rPr>
        <w:t xml:space="preserve"> de la Tea</w:t>
      </w:r>
      <w:r w:rsidR="00512BF0">
        <w:rPr>
          <w:rFonts w:eastAsiaTheme="majorEastAsia" w:cs="Arial"/>
          <w:szCs w:val="22"/>
        </w:rPr>
        <w:t>.</w:t>
      </w:r>
    </w:p>
    <w:p w14:paraId="294ADA47" w14:textId="570BDD77" w:rsidR="00434793" w:rsidRPr="00474CD3" w:rsidRDefault="00434793" w:rsidP="00434793">
      <w:pPr>
        <w:pStyle w:val="Prrafodelista"/>
        <w:numPr>
          <w:ilvl w:val="0"/>
          <w:numId w:val="30"/>
        </w:numPr>
        <w:rPr>
          <w:rFonts w:eastAsiaTheme="majorEastAsia" w:cs="Arial"/>
          <w:szCs w:val="22"/>
        </w:rPr>
      </w:pPr>
      <w:r w:rsidRPr="00474CD3">
        <w:rPr>
          <w:rFonts w:eastAsiaTheme="majorEastAsia" w:cs="Arial"/>
          <w:szCs w:val="22"/>
        </w:rPr>
        <w:t>Fecha de inicio de operación de la Tea</w:t>
      </w:r>
      <w:r w:rsidR="00512BF0">
        <w:rPr>
          <w:rFonts w:eastAsiaTheme="majorEastAsia" w:cs="Arial"/>
          <w:szCs w:val="22"/>
        </w:rPr>
        <w:t>.</w:t>
      </w:r>
    </w:p>
    <w:p w14:paraId="37A4A179" w14:textId="7D3C106B" w:rsidR="00434793" w:rsidRPr="00474CD3" w:rsidRDefault="00434793" w:rsidP="00434793">
      <w:pPr>
        <w:pStyle w:val="Prrafodelista"/>
        <w:numPr>
          <w:ilvl w:val="0"/>
          <w:numId w:val="30"/>
        </w:numPr>
        <w:rPr>
          <w:rFonts w:eastAsiaTheme="majorEastAsia" w:cs="Arial"/>
          <w:szCs w:val="22"/>
        </w:rPr>
      </w:pPr>
      <w:r w:rsidRPr="00474CD3">
        <w:rPr>
          <w:rFonts w:eastAsiaTheme="majorEastAsia" w:cs="Arial"/>
          <w:szCs w:val="22"/>
        </w:rPr>
        <w:t>Fecha del último mantenimiento de la Tea</w:t>
      </w:r>
      <w:r w:rsidR="00512BF0">
        <w:rPr>
          <w:rFonts w:eastAsiaTheme="majorEastAsia" w:cs="Arial"/>
          <w:szCs w:val="22"/>
        </w:rPr>
        <w:t>.</w:t>
      </w:r>
    </w:p>
    <w:p w14:paraId="41D363F7" w14:textId="044ED22F" w:rsidR="00434793" w:rsidRPr="00474CD3" w:rsidRDefault="00434793" w:rsidP="00434793">
      <w:pPr>
        <w:pStyle w:val="Prrafodelista"/>
        <w:numPr>
          <w:ilvl w:val="0"/>
          <w:numId w:val="30"/>
        </w:numPr>
        <w:rPr>
          <w:rFonts w:eastAsiaTheme="majorEastAsia" w:cs="Arial"/>
          <w:szCs w:val="22"/>
        </w:rPr>
      </w:pPr>
      <w:r w:rsidRPr="00474CD3">
        <w:rPr>
          <w:rFonts w:eastAsiaTheme="majorEastAsia" w:cs="Arial"/>
          <w:szCs w:val="22"/>
        </w:rPr>
        <w:t>Composición del gas a quemar (C1 – C6+)</w:t>
      </w:r>
      <w:r w:rsidR="00512BF0">
        <w:rPr>
          <w:rFonts w:eastAsiaTheme="majorEastAsia" w:cs="Arial"/>
          <w:szCs w:val="22"/>
        </w:rPr>
        <w:t>.</w:t>
      </w:r>
      <w:r w:rsidRPr="00474CD3">
        <w:rPr>
          <w:rFonts w:eastAsiaTheme="majorEastAsia" w:cs="Arial"/>
          <w:szCs w:val="22"/>
        </w:rPr>
        <w:t xml:space="preserve">    </w:t>
      </w:r>
    </w:p>
    <w:p w14:paraId="0F22F685" w14:textId="4B57F766" w:rsidR="00DE74B8" w:rsidRPr="00192B2E" w:rsidRDefault="00DE74B8" w:rsidP="00DE74B8">
      <w:pPr>
        <w:rPr>
          <w:rFonts w:eastAsiaTheme="majorEastAsia" w:cs="Arial"/>
          <w:szCs w:val="22"/>
        </w:rPr>
      </w:pPr>
    </w:p>
    <w:p w14:paraId="6417F0AB" w14:textId="45B6DD17" w:rsidR="003C3C23" w:rsidRPr="00474CD3" w:rsidRDefault="003C3C23" w:rsidP="003C3C23">
      <w:pPr>
        <w:pStyle w:val="Prrafodelista"/>
        <w:numPr>
          <w:ilvl w:val="0"/>
          <w:numId w:val="31"/>
        </w:numPr>
        <w:rPr>
          <w:rFonts w:eastAsiaTheme="majorEastAsia" w:cs="Arial"/>
          <w:szCs w:val="22"/>
          <w:u w:val="single"/>
        </w:rPr>
      </w:pPr>
      <w:r w:rsidRPr="00474CD3">
        <w:rPr>
          <w:rFonts w:eastAsiaTheme="majorEastAsia" w:cs="Arial"/>
          <w:szCs w:val="22"/>
          <w:u w:val="single"/>
        </w:rPr>
        <w:t>Metodología de Evaluación de Eficiencia de Combustión:</w:t>
      </w:r>
    </w:p>
    <w:p w14:paraId="0578B50E" w14:textId="77777777" w:rsidR="003C3C23" w:rsidRPr="00474CD3" w:rsidRDefault="003C3C23" w:rsidP="003C3C23">
      <w:pPr>
        <w:pStyle w:val="Prrafodelista"/>
        <w:rPr>
          <w:rFonts w:eastAsiaTheme="majorEastAsia" w:cs="Arial"/>
          <w:szCs w:val="22"/>
        </w:rPr>
      </w:pPr>
    </w:p>
    <w:p w14:paraId="02C680E7" w14:textId="347C8E15" w:rsidR="003C3C23" w:rsidRPr="00474CD3" w:rsidRDefault="003C3C23" w:rsidP="003C3C23">
      <w:pPr>
        <w:pStyle w:val="Prrafodelista"/>
        <w:numPr>
          <w:ilvl w:val="0"/>
          <w:numId w:val="30"/>
        </w:numPr>
        <w:rPr>
          <w:rFonts w:eastAsiaTheme="majorEastAsia" w:cs="Arial"/>
          <w:szCs w:val="22"/>
        </w:rPr>
      </w:pPr>
      <w:r w:rsidRPr="00474CD3">
        <w:rPr>
          <w:rFonts w:eastAsiaTheme="majorEastAsia" w:cs="Arial"/>
          <w:szCs w:val="22"/>
        </w:rPr>
        <w:t xml:space="preserve">Descripción de la </w:t>
      </w:r>
      <w:r w:rsidR="00512BF0">
        <w:rPr>
          <w:rFonts w:eastAsiaTheme="majorEastAsia" w:cs="Arial"/>
          <w:szCs w:val="22"/>
        </w:rPr>
        <w:t>m</w:t>
      </w:r>
      <w:r w:rsidRPr="00474CD3">
        <w:rPr>
          <w:rFonts w:eastAsiaTheme="majorEastAsia" w:cs="Arial"/>
          <w:szCs w:val="22"/>
        </w:rPr>
        <w:t>etodología utilizada</w:t>
      </w:r>
      <w:r w:rsidR="00512BF0">
        <w:rPr>
          <w:rFonts w:eastAsiaTheme="majorEastAsia" w:cs="Arial"/>
          <w:szCs w:val="22"/>
        </w:rPr>
        <w:t>.</w:t>
      </w:r>
    </w:p>
    <w:p w14:paraId="3A4CB1CE" w14:textId="29637ACC" w:rsidR="003C3C23" w:rsidRPr="00474CD3" w:rsidRDefault="002A7618" w:rsidP="003C3C23">
      <w:pPr>
        <w:pStyle w:val="Prrafodelista"/>
        <w:numPr>
          <w:ilvl w:val="0"/>
          <w:numId w:val="30"/>
        </w:numPr>
        <w:rPr>
          <w:rFonts w:eastAsiaTheme="majorEastAsia" w:cs="Arial"/>
          <w:szCs w:val="22"/>
        </w:rPr>
      </w:pPr>
      <w:r w:rsidRPr="00474CD3">
        <w:rPr>
          <w:rFonts w:eastAsiaTheme="majorEastAsia" w:cs="Arial"/>
          <w:szCs w:val="22"/>
        </w:rPr>
        <w:t xml:space="preserve">Reporte de condiciones </w:t>
      </w:r>
      <w:r w:rsidR="003C3C23" w:rsidRPr="00474CD3">
        <w:rPr>
          <w:rFonts w:eastAsiaTheme="majorEastAsia" w:cs="Arial"/>
          <w:szCs w:val="22"/>
        </w:rPr>
        <w:t>ambientales</w:t>
      </w:r>
      <w:r w:rsidR="007C573A" w:rsidRPr="00474CD3">
        <w:rPr>
          <w:rFonts w:eastAsiaTheme="majorEastAsia" w:cs="Arial"/>
          <w:szCs w:val="22"/>
        </w:rPr>
        <w:t xml:space="preserve"> durante la medición</w:t>
      </w:r>
      <w:r w:rsidR="003C3C23" w:rsidRPr="00474CD3">
        <w:rPr>
          <w:rFonts w:eastAsiaTheme="majorEastAsia" w:cs="Arial"/>
          <w:szCs w:val="22"/>
        </w:rPr>
        <w:t xml:space="preserve"> </w:t>
      </w:r>
      <w:r w:rsidR="005642E4" w:rsidRPr="00474CD3">
        <w:rPr>
          <w:rFonts w:eastAsiaTheme="majorEastAsia" w:cs="Arial"/>
          <w:szCs w:val="22"/>
        </w:rPr>
        <w:t>(temperatura ambiente y velocidad del viento)</w:t>
      </w:r>
      <w:r w:rsidR="007B62D5" w:rsidRPr="00474CD3">
        <w:rPr>
          <w:rFonts w:eastAsiaTheme="majorEastAsia" w:cs="Arial"/>
          <w:szCs w:val="22"/>
        </w:rPr>
        <w:t xml:space="preserve">. Se debe garantizar que los reportes </w:t>
      </w:r>
      <w:r w:rsidR="00464DA5" w:rsidRPr="00474CD3">
        <w:rPr>
          <w:rFonts w:eastAsiaTheme="majorEastAsia" w:cs="Arial"/>
          <w:szCs w:val="22"/>
        </w:rPr>
        <w:t xml:space="preserve">anuales </w:t>
      </w:r>
      <w:r w:rsidR="00763AD2" w:rsidRPr="00474CD3">
        <w:rPr>
          <w:rFonts w:eastAsiaTheme="majorEastAsia" w:cs="Arial"/>
          <w:szCs w:val="22"/>
        </w:rPr>
        <w:t xml:space="preserve">subsecuentes </w:t>
      </w:r>
      <w:r w:rsidR="007B62D5" w:rsidRPr="00474CD3">
        <w:rPr>
          <w:rFonts w:eastAsiaTheme="majorEastAsia" w:cs="Arial"/>
          <w:szCs w:val="22"/>
        </w:rPr>
        <w:t xml:space="preserve">se realicen </w:t>
      </w:r>
      <w:r w:rsidR="007E4D79">
        <w:rPr>
          <w:rFonts w:eastAsiaTheme="majorEastAsia" w:cs="Arial"/>
          <w:szCs w:val="22"/>
        </w:rPr>
        <w:t>en</w:t>
      </w:r>
      <w:r w:rsidR="007E4D79" w:rsidRPr="00474CD3">
        <w:rPr>
          <w:rFonts w:eastAsiaTheme="majorEastAsia" w:cs="Arial"/>
          <w:szCs w:val="22"/>
        </w:rPr>
        <w:t xml:space="preserve"> </w:t>
      </w:r>
      <w:r w:rsidR="007B62D5" w:rsidRPr="00474CD3">
        <w:rPr>
          <w:rFonts w:eastAsiaTheme="majorEastAsia" w:cs="Arial"/>
          <w:szCs w:val="22"/>
        </w:rPr>
        <w:t>condiciones similares a la primera medida</w:t>
      </w:r>
      <w:r w:rsidR="00512BF0">
        <w:rPr>
          <w:rFonts w:eastAsiaTheme="majorEastAsia" w:cs="Arial"/>
          <w:szCs w:val="22"/>
        </w:rPr>
        <w:t>.</w:t>
      </w:r>
    </w:p>
    <w:p w14:paraId="561640EE" w14:textId="686A9C4E" w:rsidR="003C3C23" w:rsidRPr="00474CD3" w:rsidRDefault="003C3C23" w:rsidP="003C3C23">
      <w:pPr>
        <w:pStyle w:val="Prrafodelista"/>
        <w:numPr>
          <w:ilvl w:val="0"/>
          <w:numId w:val="30"/>
        </w:numPr>
        <w:rPr>
          <w:rFonts w:eastAsiaTheme="majorEastAsia" w:cs="Arial"/>
          <w:szCs w:val="22"/>
        </w:rPr>
      </w:pPr>
      <w:r w:rsidRPr="00474CD3">
        <w:rPr>
          <w:rFonts w:eastAsiaTheme="majorEastAsia" w:cs="Arial"/>
          <w:szCs w:val="22"/>
        </w:rPr>
        <w:t xml:space="preserve">% Eficiencia de </w:t>
      </w:r>
      <w:r w:rsidR="007E4D79">
        <w:rPr>
          <w:rFonts w:eastAsiaTheme="majorEastAsia" w:cs="Arial"/>
          <w:szCs w:val="22"/>
        </w:rPr>
        <w:t>c</w:t>
      </w:r>
      <w:r w:rsidR="007E4D79" w:rsidRPr="00474CD3">
        <w:rPr>
          <w:rFonts w:eastAsiaTheme="majorEastAsia" w:cs="Arial"/>
          <w:szCs w:val="22"/>
        </w:rPr>
        <w:t xml:space="preserve">ombustión </w:t>
      </w:r>
      <w:r w:rsidRPr="00474CD3">
        <w:rPr>
          <w:rFonts w:eastAsiaTheme="majorEastAsia" w:cs="Arial"/>
          <w:szCs w:val="22"/>
        </w:rPr>
        <w:t>de la</w:t>
      </w:r>
      <w:r w:rsidR="002A7618" w:rsidRPr="00474CD3">
        <w:rPr>
          <w:rFonts w:eastAsiaTheme="majorEastAsia" w:cs="Arial"/>
          <w:szCs w:val="22"/>
        </w:rPr>
        <w:t xml:space="preserve"> Tea</w:t>
      </w:r>
      <w:r w:rsidR="00512BF0">
        <w:rPr>
          <w:rFonts w:eastAsiaTheme="majorEastAsia" w:cs="Arial"/>
          <w:szCs w:val="22"/>
        </w:rPr>
        <w:t>.</w:t>
      </w:r>
    </w:p>
    <w:p w14:paraId="4E9147BB" w14:textId="218FAB93" w:rsidR="003C3C23" w:rsidRPr="00474CD3" w:rsidRDefault="003C3C23" w:rsidP="003C3C23">
      <w:pPr>
        <w:pStyle w:val="Prrafodelista"/>
        <w:numPr>
          <w:ilvl w:val="0"/>
          <w:numId w:val="30"/>
        </w:numPr>
        <w:rPr>
          <w:rFonts w:eastAsiaTheme="majorEastAsia" w:cs="Arial"/>
          <w:szCs w:val="22"/>
        </w:rPr>
      </w:pPr>
      <w:r w:rsidRPr="00474CD3">
        <w:rPr>
          <w:rFonts w:eastAsiaTheme="majorEastAsia" w:cs="Arial"/>
          <w:szCs w:val="22"/>
        </w:rPr>
        <w:t>% DRE metano de la Tea</w:t>
      </w:r>
      <w:r w:rsidR="00512BF0">
        <w:rPr>
          <w:rFonts w:eastAsiaTheme="majorEastAsia" w:cs="Arial"/>
          <w:szCs w:val="22"/>
        </w:rPr>
        <w:t>.</w:t>
      </w:r>
    </w:p>
    <w:p w14:paraId="2C688427" w14:textId="3E7AEA21" w:rsidR="003C3C23" w:rsidRPr="00474CD3" w:rsidRDefault="003C3C23" w:rsidP="003C3C23">
      <w:pPr>
        <w:pStyle w:val="Prrafodelista"/>
        <w:numPr>
          <w:ilvl w:val="0"/>
          <w:numId w:val="30"/>
        </w:numPr>
        <w:rPr>
          <w:rFonts w:eastAsiaTheme="majorEastAsia" w:cs="Arial"/>
          <w:szCs w:val="22"/>
        </w:rPr>
      </w:pPr>
      <w:r w:rsidRPr="00474CD3">
        <w:rPr>
          <w:rFonts w:eastAsiaTheme="majorEastAsia" w:cs="Arial"/>
          <w:szCs w:val="22"/>
        </w:rPr>
        <w:t xml:space="preserve">Soporte de Declaración de </w:t>
      </w:r>
      <w:r w:rsidR="00512BF0">
        <w:rPr>
          <w:rFonts w:eastAsiaTheme="majorEastAsia" w:cs="Arial"/>
          <w:szCs w:val="22"/>
        </w:rPr>
        <w:t>C</w:t>
      </w:r>
      <w:r w:rsidRPr="00474CD3">
        <w:rPr>
          <w:rFonts w:eastAsiaTheme="majorEastAsia" w:cs="Arial"/>
          <w:szCs w:val="22"/>
        </w:rPr>
        <w:t xml:space="preserve">onformidad </w:t>
      </w:r>
      <w:r w:rsidR="004F2325" w:rsidRPr="00474CD3">
        <w:rPr>
          <w:rFonts w:eastAsiaTheme="majorEastAsia" w:cs="Arial"/>
          <w:szCs w:val="22"/>
        </w:rPr>
        <w:t xml:space="preserve">expedido por un organismo de inspección acreditado por </w:t>
      </w:r>
      <w:r w:rsidR="00512BF0">
        <w:rPr>
          <w:rFonts w:eastAsiaTheme="majorEastAsia" w:cs="Arial"/>
          <w:szCs w:val="22"/>
        </w:rPr>
        <w:t>la</w:t>
      </w:r>
      <w:r w:rsidR="00512BF0" w:rsidRPr="00474CD3">
        <w:rPr>
          <w:rFonts w:eastAsiaTheme="majorEastAsia" w:cs="Arial"/>
          <w:szCs w:val="22"/>
        </w:rPr>
        <w:t xml:space="preserve"> </w:t>
      </w:r>
      <w:r w:rsidR="004F2325" w:rsidRPr="00474CD3">
        <w:rPr>
          <w:rFonts w:eastAsiaTheme="majorEastAsia" w:cs="Arial"/>
          <w:szCs w:val="22"/>
        </w:rPr>
        <w:t>ONAC</w:t>
      </w:r>
      <w:r w:rsidR="006904CA" w:rsidRPr="00474CD3">
        <w:rPr>
          <w:rFonts w:eastAsiaTheme="majorEastAsia" w:cs="Arial"/>
          <w:szCs w:val="22"/>
        </w:rPr>
        <w:t xml:space="preserve"> / miembro </w:t>
      </w:r>
      <w:r w:rsidR="004F2325" w:rsidRPr="00474CD3">
        <w:rPr>
          <w:rFonts w:eastAsiaTheme="majorEastAsia" w:cs="Arial"/>
          <w:szCs w:val="22"/>
        </w:rPr>
        <w:t>ILAC</w:t>
      </w:r>
      <w:r w:rsidR="006904CA" w:rsidRPr="00474CD3">
        <w:rPr>
          <w:rFonts w:eastAsiaTheme="majorEastAsia" w:cs="Arial"/>
          <w:szCs w:val="22"/>
        </w:rPr>
        <w:t>, o</w:t>
      </w:r>
      <w:r w:rsidR="004F2325" w:rsidRPr="00474CD3">
        <w:rPr>
          <w:rFonts w:eastAsiaTheme="majorEastAsia" w:cs="Arial"/>
          <w:szCs w:val="22"/>
        </w:rPr>
        <w:t xml:space="preserve"> en su defecto</w:t>
      </w:r>
      <w:r w:rsidR="006904CA" w:rsidRPr="00474CD3">
        <w:rPr>
          <w:rFonts w:eastAsiaTheme="majorEastAsia" w:cs="Arial"/>
          <w:szCs w:val="22"/>
        </w:rPr>
        <w:t>,</w:t>
      </w:r>
      <w:r w:rsidR="004F2325" w:rsidRPr="00474CD3">
        <w:rPr>
          <w:rFonts w:eastAsiaTheme="majorEastAsia" w:cs="Arial"/>
          <w:szCs w:val="22"/>
        </w:rPr>
        <w:t xml:space="preserve"> Declaración de Primera Parte </w:t>
      </w:r>
      <w:r w:rsidR="00512BF0">
        <w:rPr>
          <w:rFonts w:eastAsiaTheme="majorEastAsia" w:cs="Arial"/>
          <w:szCs w:val="22"/>
        </w:rPr>
        <w:t>conforme lo establecen la N</w:t>
      </w:r>
      <w:r w:rsidR="004F2325" w:rsidRPr="00474CD3">
        <w:rPr>
          <w:rFonts w:eastAsiaTheme="majorEastAsia" w:cs="Arial"/>
          <w:szCs w:val="22"/>
        </w:rPr>
        <w:t xml:space="preserve">orma NTC-ISO/IEC 17050 y la Entidad de Fiscalización. </w:t>
      </w:r>
    </w:p>
    <w:p w14:paraId="52FA2D1B" w14:textId="77777777" w:rsidR="001037D3" w:rsidRPr="001E0954" w:rsidRDefault="001037D3" w:rsidP="00DE74B8">
      <w:pPr>
        <w:rPr>
          <w:rFonts w:eastAsiaTheme="majorEastAsia" w:cs="Arial"/>
          <w:szCs w:val="22"/>
        </w:rPr>
      </w:pPr>
    </w:p>
    <w:p w14:paraId="6E910613" w14:textId="0CB3409A" w:rsidR="004F2325" w:rsidRDefault="004F2325" w:rsidP="00F67497">
      <w:pPr>
        <w:pStyle w:val="Prrafodelista"/>
        <w:numPr>
          <w:ilvl w:val="0"/>
          <w:numId w:val="31"/>
        </w:numPr>
        <w:rPr>
          <w:rFonts w:eastAsiaTheme="majorEastAsia" w:cs="Arial"/>
          <w:szCs w:val="22"/>
          <w:u w:val="single"/>
        </w:rPr>
      </w:pPr>
      <w:r w:rsidRPr="001E0954">
        <w:rPr>
          <w:rFonts w:eastAsiaTheme="majorEastAsia" w:cs="Arial"/>
          <w:szCs w:val="22"/>
          <w:u w:val="single"/>
        </w:rPr>
        <w:t>Emisiones GEI asociadas a la Combustión de Gas Natural en la Tea</w:t>
      </w:r>
      <w:r w:rsidR="00512BF0">
        <w:rPr>
          <w:rFonts w:eastAsiaTheme="majorEastAsia" w:cs="Arial"/>
          <w:szCs w:val="22"/>
          <w:u w:val="single"/>
        </w:rPr>
        <w:t>:</w:t>
      </w:r>
    </w:p>
    <w:p w14:paraId="63A43D30" w14:textId="77777777" w:rsidR="00512BF0" w:rsidRPr="001E0954" w:rsidRDefault="00512BF0" w:rsidP="001E0954">
      <w:pPr>
        <w:pStyle w:val="Prrafodelista"/>
        <w:rPr>
          <w:rFonts w:eastAsiaTheme="majorEastAsia" w:cs="Arial"/>
          <w:szCs w:val="22"/>
          <w:u w:val="single"/>
        </w:rPr>
      </w:pPr>
    </w:p>
    <w:p w14:paraId="7A6821A0" w14:textId="1AF6826D" w:rsidR="001037D3" w:rsidRPr="001E0954" w:rsidRDefault="00AF1DE6" w:rsidP="00F67497">
      <w:pPr>
        <w:pStyle w:val="Prrafodelista"/>
        <w:numPr>
          <w:ilvl w:val="0"/>
          <w:numId w:val="30"/>
        </w:numPr>
        <w:rPr>
          <w:rFonts w:eastAsiaTheme="majorEastAsia" w:cs="Arial"/>
          <w:szCs w:val="22"/>
        </w:rPr>
      </w:pPr>
      <w:r w:rsidRPr="001E0954">
        <w:rPr>
          <w:rFonts w:eastAsiaTheme="majorEastAsia" w:cs="Arial"/>
          <w:szCs w:val="22"/>
        </w:rPr>
        <w:t>Detalle del cálculo realizado</w:t>
      </w:r>
      <w:r w:rsidR="00512BF0">
        <w:rPr>
          <w:rFonts w:eastAsiaTheme="majorEastAsia" w:cs="Arial"/>
          <w:szCs w:val="22"/>
        </w:rPr>
        <w:t>.</w:t>
      </w:r>
    </w:p>
    <w:p w14:paraId="20643634" w14:textId="5C0CB3DA" w:rsidR="00AF1DE6" w:rsidRPr="00F67497" w:rsidRDefault="00AF1DE6" w:rsidP="00F67497">
      <w:pPr>
        <w:jc w:val="both"/>
        <w:rPr>
          <w:rFonts w:eastAsiaTheme="majorEastAsia" w:cs="Arial"/>
          <w:sz w:val="20"/>
        </w:rPr>
      </w:pPr>
    </w:p>
    <w:p w14:paraId="7049BD5E" w14:textId="30E62613" w:rsidR="00AF1DE6" w:rsidRPr="008E0C6A" w:rsidRDefault="00AF1DE6" w:rsidP="00F67497">
      <w:pPr>
        <w:jc w:val="both"/>
        <w:rPr>
          <w:rFonts w:eastAsiaTheme="majorEastAsia" w:cs="Arial"/>
        </w:rPr>
      </w:pPr>
      <w:r w:rsidRPr="008E0C6A">
        <w:rPr>
          <w:rFonts w:eastAsiaTheme="majorEastAsia" w:cs="Arial"/>
        </w:rPr>
        <w:t xml:space="preserve">Así mismo, se deberá remitir diligenciado el Formato </w:t>
      </w:r>
      <w:r w:rsidR="004F4EE7">
        <w:rPr>
          <w:rFonts w:eastAsiaTheme="majorEastAsia" w:cs="Arial"/>
        </w:rPr>
        <w:t>Reporte</w:t>
      </w:r>
      <w:r w:rsidRPr="008E0C6A">
        <w:rPr>
          <w:rFonts w:eastAsiaTheme="majorEastAsia" w:cs="Arial"/>
        </w:rPr>
        <w:t xml:space="preserve"> de Eficiencia </w:t>
      </w:r>
      <w:r w:rsidR="004F4EE7">
        <w:rPr>
          <w:rFonts w:eastAsiaTheme="majorEastAsia" w:cs="Arial"/>
        </w:rPr>
        <w:t>de Combustión</w:t>
      </w:r>
      <w:r w:rsidRPr="008E0C6A">
        <w:rPr>
          <w:rFonts w:eastAsiaTheme="majorEastAsia" w:cs="Arial"/>
        </w:rPr>
        <w:t xml:space="preserve"> en Tea (ANEXO </w:t>
      </w:r>
      <w:r w:rsidR="000959C6" w:rsidRPr="008E0C6A">
        <w:rPr>
          <w:rFonts w:eastAsiaTheme="majorEastAsia" w:cs="Arial"/>
        </w:rPr>
        <w:t>B</w:t>
      </w:r>
      <w:r w:rsidRPr="008E0C6A">
        <w:rPr>
          <w:rFonts w:eastAsiaTheme="majorEastAsia" w:cs="Arial"/>
        </w:rPr>
        <w:t>)</w:t>
      </w:r>
      <w:r w:rsidR="007C745E" w:rsidRPr="008E0C6A">
        <w:rPr>
          <w:rFonts w:eastAsiaTheme="majorEastAsia" w:cs="Arial"/>
        </w:rPr>
        <w:t>.</w:t>
      </w:r>
    </w:p>
    <w:p w14:paraId="41CD42D4" w14:textId="7A89A417" w:rsidR="00DF0EED" w:rsidRPr="008E0C6A" w:rsidRDefault="00DF0EED" w:rsidP="00F67497">
      <w:pPr>
        <w:jc w:val="both"/>
        <w:rPr>
          <w:rFonts w:eastAsiaTheme="majorEastAsia" w:cs="Arial"/>
        </w:rPr>
      </w:pPr>
    </w:p>
    <w:p w14:paraId="0D6907D6" w14:textId="19080425" w:rsidR="00DF0EED" w:rsidRPr="008E0C6A" w:rsidRDefault="00DF0EED" w:rsidP="00F67497">
      <w:pPr>
        <w:jc w:val="both"/>
        <w:rPr>
          <w:rFonts w:eastAsiaTheme="majorEastAsia" w:cs="Arial"/>
        </w:rPr>
      </w:pPr>
      <w:r w:rsidRPr="008E0C6A">
        <w:rPr>
          <w:rFonts w:eastAsiaTheme="majorEastAsia" w:cs="Arial"/>
        </w:rPr>
        <w:t xml:space="preserve">Para la recepción de la información solicitada, la Entidad de Fiscalización presentará de manera anticipada el mecanismo (repositorio o plataforma definida) para tal fin. </w:t>
      </w:r>
    </w:p>
    <w:p w14:paraId="5F4D3C7A" w14:textId="5B3C8B00" w:rsidR="00142F28" w:rsidRDefault="00142F28" w:rsidP="00B87884">
      <w:pPr>
        <w:rPr>
          <w:rFonts w:eastAsiaTheme="majorEastAsia" w:cs="Arial"/>
          <w:sz w:val="20"/>
          <w:u w:val="single"/>
        </w:rPr>
      </w:pPr>
    </w:p>
    <w:p w14:paraId="3CAD6102" w14:textId="77777777" w:rsidR="00192B2E" w:rsidRDefault="00192B2E" w:rsidP="00B87884">
      <w:pPr>
        <w:rPr>
          <w:rFonts w:eastAsiaTheme="majorEastAsia" w:cs="Arial"/>
          <w:sz w:val="20"/>
          <w:u w:val="single"/>
        </w:rPr>
      </w:pPr>
    </w:p>
    <w:p w14:paraId="4556F864" w14:textId="3DAFB17B" w:rsidR="00142F28" w:rsidRDefault="004F2325" w:rsidP="00192B2E">
      <w:pPr>
        <w:pStyle w:val="Ttulo1"/>
        <w:numPr>
          <w:ilvl w:val="0"/>
          <w:numId w:val="5"/>
        </w:numPr>
        <w:ind w:left="1276" w:hanging="916"/>
        <w:jc w:val="both"/>
      </w:pPr>
      <w:bookmarkStart w:id="47" w:name="_Toc145672311"/>
      <w:r>
        <w:t>MECANISMO LEGAL PARA EL PRONUNCIAMIENTO DE LA ANH COMO ENTE FISCALIZADOR</w:t>
      </w:r>
      <w:bookmarkEnd w:id="47"/>
    </w:p>
    <w:p w14:paraId="1DDB2E10" w14:textId="32323642" w:rsidR="004F2325" w:rsidRDefault="004F2325" w:rsidP="004F2325">
      <w:pPr>
        <w:rPr>
          <w:rFonts w:eastAsiaTheme="majorEastAsia" w:cs="Arial"/>
          <w:b/>
          <w:sz w:val="28"/>
          <w:szCs w:val="28"/>
        </w:rPr>
      </w:pPr>
    </w:p>
    <w:p w14:paraId="730898FD" w14:textId="2DBBFEC5" w:rsidR="004F2325" w:rsidRPr="004F2325" w:rsidRDefault="004F2325" w:rsidP="004F2325">
      <w:pPr>
        <w:jc w:val="both"/>
        <w:rPr>
          <w:rFonts w:eastAsiaTheme="majorEastAsia" w:cs="Arial"/>
          <w:szCs w:val="22"/>
        </w:rPr>
      </w:pPr>
      <w:r w:rsidRPr="004F2325">
        <w:rPr>
          <w:rFonts w:eastAsiaTheme="majorEastAsia" w:cs="Arial"/>
          <w:szCs w:val="22"/>
        </w:rPr>
        <w:t>La ANH se pronunciará frente a</w:t>
      </w:r>
      <w:r w:rsidR="006B0D2D">
        <w:rPr>
          <w:rFonts w:eastAsiaTheme="majorEastAsia" w:cs="Arial"/>
          <w:szCs w:val="22"/>
        </w:rPr>
        <w:t xml:space="preserve"> </w:t>
      </w:r>
      <w:r w:rsidRPr="004F2325">
        <w:rPr>
          <w:rFonts w:eastAsiaTheme="majorEastAsia" w:cs="Arial"/>
          <w:szCs w:val="22"/>
        </w:rPr>
        <w:t>l</w:t>
      </w:r>
      <w:r w:rsidR="006B0D2D">
        <w:rPr>
          <w:rFonts w:eastAsiaTheme="majorEastAsia" w:cs="Arial"/>
          <w:szCs w:val="22"/>
        </w:rPr>
        <w:t>a</w:t>
      </w:r>
      <w:r w:rsidR="007E4D79">
        <w:rPr>
          <w:rFonts w:eastAsiaTheme="majorEastAsia" w:cs="Arial"/>
          <w:szCs w:val="22"/>
        </w:rPr>
        <w:t>s Compañías</w:t>
      </w:r>
      <w:r w:rsidRPr="004F2325">
        <w:rPr>
          <w:rFonts w:eastAsiaTheme="majorEastAsia" w:cs="Arial"/>
          <w:szCs w:val="22"/>
        </w:rPr>
        <w:t xml:space="preserve"> Operador</w:t>
      </w:r>
      <w:r w:rsidR="006B0D2D">
        <w:rPr>
          <w:rFonts w:eastAsiaTheme="majorEastAsia" w:cs="Arial"/>
          <w:szCs w:val="22"/>
        </w:rPr>
        <w:t>a</w:t>
      </w:r>
      <w:r w:rsidR="007E4D79">
        <w:rPr>
          <w:rFonts w:eastAsiaTheme="majorEastAsia" w:cs="Arial"/>
          <w:szCs w:val="22"/>
        </w:rPr>
        <w:t>s</w:t>
      </w:r>
      <w:r w:rsidRPr="004F2325">
        <w:rPr>
          <w:rFonts w:eastAsiaTheme="majorEastAsia" w:cs="Arial"/>
          <w:szCs w:val="22"/>
        </w:rPr>
        <w:t xml:space="preserve"> respecto a:</w:t>
      </w:r>
    </w:p>
    <w:p w14:paraId="19ADB0B7" w14:textId="77777777" w:rsidR="00EA533B" w:rsidRDefault="00EA533B" w:rsidP="004F2325">
      <w:pPr>
        <w:jc w:val="both"/>
        <w:rPr>
          <w:rFonts w:eastAsiaTheme="majorEastAsia" w:cs="Arial"/>
          <w:szCs w:val="22"/>
        </w:rPr>
      </w:pPr>
    </w:p>
    <w:p w14:paraId="2BE2184C" w14:textId="753F0826" w:rsidR="004F2325" w:rsidRPr="00192B2E" w:rsidRDefault="004F2325" w:rsidP="009D2D2E">
      <w:pPr>
        <w:pStyle w:val="Prrafodelista"/>
        <w:numPr>
          <w:ilvl w:val="0"/>
          <w:numId w:val="32"/>
        </w:numPr>
        <w:rPr>
          <w:rFonts w:eastAsiaTheme="majorEastAsia" w:cs="Arial"/>
          <w:strike/>
          <w:szCs w:val="22"/>
        </w:rPr>
      </w:pPr>
      <w:r w:rsidRPr="009D2D2E">
        <w:rPr>
          <w:rFonts w:eastAsiaTheme="majorEastAsia" w:cs="Arial"/>
          <w:szCs w:val="22"/>
        </w:rPr>
        <w:t>Solicitud de información complementaria del Informe de Evaluación de Eficiencia de Combustión en la Tea</w:t>
      </w:r>
      <w:r w:rsidR="00192B2E">
        <w:rPr>
          <w:rFonts w:eastAsiaTheme="majorEastAsia" w:cs="Arial"/>
          <w:strike/>
          <w:szCs w:val="22"/>
        </w:rPr>
        <w:t>.</w:t>
      </w:r>
    </w:p>
    <w:p w14:paraId="25B8CD1F" w14:textId="77777777" w:rsidR="00EA533B" w:rsidRDefault="00EA533B" w:rsidP="004F2325">
      <w:pPr>
        <w:jc w:val="both"/>
        <w:rPr>
          <w:rFonts w:eastAsiaTheme="majorEastAsia" w:cs="Arial"/>
          <w:szCs w:val="22"/>
        </w:rPr>
      </w:pPr>
    </w:p>
    <w:p w14:paraId="1BCAF527" w14:textId="0E2899B6" w:rsidR="004F2325" w:rsidRPr="00192B2E" w:rsidRDefault="004F2325" w:rsidP="009D2D2E">
      <w:pPr>
        <w:pStyle w:val="Prrafodelista"/>
        <w:numPr>
          <w:ilvl w:val="0"/>
          <w:numId w:val="32"/>
        </w:numPr>
        <w:rPr>
          <w:rFonts w:eastAsiaTheme="majorEastAsia" w:cs="Arial"/>
          <w:strike/>
          <w:szCs w:val="22"/>
        </w:rPr>
      </w:pPr>
      <w:r w:rsidRPr="009D2D2E">
        <w:rPr>
          <w:rFonts w:eastAsiaTheme="majorEastAsia" w:cs="Arial"/>
          <w:szCs w:val="22"/>
        </w:rPr>
        <w:t>Revisión del Informe de Evaluación de Eficiencia de Combustión de Tea</w:t>
      </w:r>
      <w:r w:rsidR="00192B2E">
        <w:rPr>
          <w:rFonts w:eastAsiaTheme="majorEastAsia" w:cs="Arial"/>
          <w:szCs w:val="22"/>
        </w:rPr>
        <w:t>.</w:t>
      </w:r>
    </w:p>
    <w:p w14:paraId="542B8EF7" w14:textId="77777777" w:rsidR="004F2325" w:rsidRPr="004F2325" w:rsidRDefault="004F2325" w:rsidP="004F2325">
      <w:pPr>
        <w:jc w:val="both"/>
        <w:rPr>
          <w:rFonts w:eastAsiaTheme="majorEastAsia" w:cs="Arial"/>
          <w:szCs w:val="22"/>
        </w:rPr>
      </w:pPr>
      <w:r w:rsidRPr="004F2325">
        <w:rPr>
          <w:rFonts w:eastAsiaTheme="majorEastAsia" w:cs="Arial"/>
          <w:szCs w:val="22"/>
        </w:rPr>
        <w:t xml:space="preserve">     </w:t>
      </w:r>
    </w:p>
    <w:p w14:paraId="4B58433D" w14:textId="5979AF3A" w:rsidR="004F2325" w:rsidRPr="00192B2E" w:rsidRDefault="004F2325" w:rsidP="009D2D2E">
      <w:pPr>
        <w:pStyle w:val="Prrafodelista"/>
        <w:numPr>
          <w:ilvl w:val="0"/>
          <w:numId w:val="32"/>
        </w:numPr>
        <w:rPr>
          <w:rFonts w:eastAsiaTheme="majorEastAsia" w:cs="Arial"/>
          <w:strike/>
          <w:szCs w:val="22"/>
        </w:rPr>
      </w:pPr>
      <w:r w:rsidRPr="009D2D2E">
        <w:rPr>
          <w:rFonts w:eastAsiaTheme="majorEastAsia" w:cs="Arial"/>
          <w:szCs w:val="22"/>
        </w:rPr>
        <w:t xml:space="preserve">Ante el incumplimiento </w:t>
      </w:r>
      <w:r w:rsidR="006B0D2D">
        <w:rPr>
          <w:rFonts w:eastAsiaTheme="majorEastAsia" w:cs="Arial"/>
          <w:szCs w:val="22"/>
        </w:rPr>
        <w:t>en la</w:t>
      </w:r>
      <w:r w:rsidR="006B0D2D" w:rsidRPr="009D2D2E">
        <w:rPr>
          <w:rFonts w:eastAsiaTheme="majorEastAsia" w:cs="Arial"/>
          <w:szCs w:val="22"/>
        </w:rPr>
        <w:t xml:space="preserve"> </w:t>
      </w:r>
      <w:r w:rsidRPr="009D2D2E">
        <w:rPr>
          <w:rFonts w:eastAsiaTheme="majorEastAsia" w:cs="Arial"/>
          <w:szCs w:val="22"/>
        </w:rPr>
        <w:t>entrega del Informe de Evaluación de Eficiencia de Combustión en la Tea, por parte de</w:t>
      </w:r>
      <w:r w:rsidR="006B0D2D">
        <w:rPr>
          <w:rFonts w:eastAsiaTheme="majorEastAsia" w:cs="Arial"/>
          <w:szCs w:val="22"/>
        </w:rPr>
        <w:t xml:space="preserve"> </w:t>
      </w:r>
      <w:r w:rsidRPr="009D2D2E">
        <w:rPr>
          <w:rFonts w:eastAsiaTheme="majorEastAsia" w:cs="Arial"/>
          <w:szCs w:val="22"/>
        </w:rPr>
        <w:t>l</w:t>
      </w:r>
      <w:r w:rsidR="006B0D2D">
        <w:rPr>
          <w:rFonts w:eastAsiaTheme="majorEastAsia" w:cs="Arial"/>
          <w:szCs w:val="22"/>
        </w:rPr>
        <w:t>a</w:t>
      </w:r>
      <w:r w:rsidR="007E4D79">
        <w:rPr>
          <w:rFonts w:eastAsiaTheme="majorEastAsia" w:cs="Arial"/>
          <w:szCs w:val="22"/>
        </w:rPr>
        <w:t xml:space="preserve">s Compañías </w:t>
      </w:r>
      <w:r w:rsidRPr="009D2D2E">
        <w:rPr>
          <w:rFonts w:eastAsiaTheme="majorEastAsia" w:cs="Arial"/>
          <w:szCs w:val="22"/>
        </w:rPr>
        <w:t>Operador</w:t>
      </w:r>
      <w:r w:rsidR="006B0D2D">
        <w:rPr>
          <w:rFonts w:eastAsiaTheme="majorEastAsia" w:cs="Arial"/>
          <w:szCs w:val="22"/>
        </w:rPr>
        <w:t>a</w:t>
      </w:r>
      <w:r w:rsidR="007E4D79">
        <w:rPr>
          <w:rFonts w:eastAsiaTheme="majorEastAsia" w:cs="Arial"/>
          <w:szCs w:val="22"/>
        </w:rPr>
        <w:t>s</w:t>
      </w:r>
      <w:r w:rsidRPr="009D2D2E">
        <w:rPr>
          <w:rFonts w:eastAsiaTheme="majorEastAsia" w:cs="Arial"/>
          <w:szCs w:val="22"/>
        </w:rPr>
        <w:t xml:space="preserve">, es importante señalar que de conformidad con lo establecido en el artículo 82 de </w:t>
      </w:r>
      <w:r w:rsidR="00192B2E" w:rsidRPr="009D2D2E">
        <w:rPr>
          <w:rFonts w:eastAsiaTheme="majorEastAsia" w:cs="Arial"/>
          <w:szCs w:val="22"/>
        </w:rPr>
        <w:t>la Resolución</w:t>
      </w:r>
      <w:r w:rsidRPr="009D2D2E">
        <w:rPr>
          <w:rFonts w:eastAsiaTheme="majorEastAsia" w:cs="Arial"/>
          <w:szCs w:val="22"/>
        </w:rPr>
        <w:t xml:space="preserve"> 40066 de 2022, el </w:t>
      </w:r>
      <w:r w:rsidR="006B0D2D">
        <w:rPr>
          <w:rFonts w:eastAsiaTheme="majorEastAsia" w:cs="Arial"/>
          <w:szCs w:val="22"/>
        </w:rPr>
        <w:t>inc</w:t>
      </w:r>
      <w:r w:rsidRPr="009D2D2E">
        <w:rPr>
          <w:rFonts w:eastAsiaTheme="majorEastAsia" w:cs="Arial"/>
          <w:szCs w:val="22"/>
        </w:rPr>
        <w:t xml:space="preserve">umplimiento a las disposiciones </w:t>
      </w:r>
      <w:r w:rsidR="006B0D2D">
        <w:rPr>
          <w:rFonts w:eastAsiaTheme="majorEastAsia" w:cs="Arial"/>
          <w:szCs w:val="22"/>
        </w:rPr>
        <w:t>enunciadas</w:t>
      </w:r>
      <w:r w:rsidRPr="009D2D2E">
        <w:rPr>
          <w:rFonts w:eastAsiaTheme="majorEastAsia" w:cs="Arial"/>
          <w:szCs w:val="22"/>
        </w:rPr>
        <w:t xml:space="preserve"> será sancionado conforme a las disposiciones aplicables</w:t>
      </w:r>
      <w:r w:rsidR="00093648">
        <w:rPr>
          <w:rFonts w:eastAsiaTheme="majorEastAsia" w:cs="Arial"/>
          <w:szCs w:val="22"/>
        </w:rPr>
        <w:t>.</w:t>
      </w:r>
      <w:r w:rsidRPr="009D2D2E">
        <w:rPr>
          <w:rFonts w:eastAsiaTheme="majorEastAsia" w:cs="Arial"/>
          <w:szCs w:val="22"/>
        </w:rPr>
        <w:t xml:space="preserve"> </w:t>
      </w:r>
    </w:p>
    <w:p w14:paraId="04F37842" w14:textId="77777777" w:rsidR="00247B44" w:rsidRPr="00942CF6" w:rsidRDefault="00247B44" w:rsidP="00942CF6"/>
    <w:p w14:paraId="0B593B98" w14:textId="0DBBE1A8" w:rsidR="00247B44" w:rsidRPr="00CE04B0" w:rsidRDefault="00247B44" w:rsidP="00CE04B0">
      <w:pPr>
        <w:pStyle w:val="Ttulo1"/>
        <w:numPr>
          <w:ilvl w:val="0"/>
          <w:numId w:val="5"/>
        </w:numPr>
      </w:pPr>
      <w:bookmarkStart w:id="48" w:name="_Toc138340221"/>
      <w:bookmarkStart w:id="49" w:name="_Toc145672312"/>
      <w:r w:rsidRPr="00CE04B0">
        <w:t>REFERENCIAS</w:t>
      </w:r>
      <w:bookmarkEnd w:id="48"/>
      <w:bookmarkEnd w:id="49"/>
    </w:p>
    <w:p w14:paraId="531098B6" w14:textId="3EBF5CD4" w:rsidR="00FD7836" w:rsidRDefault="00FD7836" w:rsidP="00FD7836"/>
    <w:sdt>
      <w:sdtPr>
        <w:tag w:val="MENDELEY_BIBLIOGRAPHY"/>
        <w:id w:val="-187071280"/>
        <w:placeholder>
          <w:docPart w:val="DefaultPlaceholder_-1854013440"/>
        </w:placeholder>
      </w:sdtPr>
      <w:sdtEndPr/>
      <w:sdtContent>
        <w:p w14:paraId="064D4C1C" w14:textId="77777777" w:rsidR="00A44BAA" w:rsidRDefault="00A44BAA">
          <w:pPr>
            <w:autoSpaceDE w:val="0"/>
            <w:autoSpaceDN w:val="0"/>
            <w:ind w:hanging="640"/>
            <w:divId w:val="1073625079"/>
            <w:rPr>
              <w:sz w:val="24"/>
              <w:szCs w:val="24"/>
            </w:rPr>
          </w:pPr>
          <w:r>
            <w:t>[1]</w:t>
          </w:r>
          <w:r>
            <w:tab/>
          </w:r>
          <w:proofErr w:type="spellStart"/>
          <w:r>
            <w:t>Methane</w:t>
          </w:r>
          <w:proofErr w:type="spellEnd"/>
          <w:r>
            <w:t xml:space="preserve"> </w:t>
          </w:r>
          <w:proofErr w:type="spellStart"/>
          <w:r>
            <w:t>Guiding</w:t>
          </w:r>
          <w:proofErr w:type="spellEnd"/>
          <w:r>
            <w:t xml:space="preserve"> </w:t>
          </w:r>
          <w:proofErr w:type="spellStart"/>
          <w:r>
            <w:t>Principles</w:t>
          </w:r>
          <w:proofErr w:type="spellEnd"/>
          <w:r>
            <w:t>., “Reducción de las Emisiones de Metano: Guía de mejores prácticas”, 2019.</w:t>
          </w:r>
        </w:p>
        <w:p w14:paraId="5E6D9008" w14:textId="77777777" w:rsidR="00A44BAA" w:rsidRPr="00F1666D" w:rsidRDefault="00A44BAA">
          <w:pPr>
            <w:autoSpaceDE w:val="0"/>
            <w:autoSpaceDN w:val="0"/>
            <w:ind w:hanging="640"/>
            <w:divId w:val="560022587"/>
            <w:rPr>
              <w:lang w:val="en-GB"/>
            </w:rPr>
          </w:pPr>
          <w:r w:rsidRPr="00F1666D">
            <w:rPr>
              <w:lang w:val="en-GB"/>
            </w:rPr>
            <w:t>[2]</w:t>
          </w:r>
          <w:r w:rsidRPr="00F1666D">
            <w:rPr>
              <w:lang w:val="en-GB"/>
            </w:rPr>
            <w:tab/>
            <w:t xml:space="preserve">S. C. Herndon </w:t>
          </w:r>
          <w:r w:rsidRPr="00F1666D">
            <w:rPr>
              <w:i/>
              <w:iCs/>
              <w:lang w:val="en-GB"/>
            </w:rPr>
            <w:t>et al.</w:t>
          </w:r>
          <w:r w:rsidRPr="00F1666D">
            <w:rPr>
              <w:lang w:val="en-GB"/>
            </w:rPr>
            <w:t xml:space="preserve">, “Application of the Carbon Balance Method to Flare Emissions Characteristics”, </w:t>
          </w:r>
          <w:r w:rsidRPr="00F1666D">
            <w:rPr>
              <w:i/>
              <w:iCs/>
              <w:lang w:val="en-GB"/>
            </w:rPr>
            <w:t xml:space="preserve">Ind </w:t>
          </w:r>
          <w:proofErr w:type="spellStart"/>
          <w:r w:rsidRPr="00F1666D">
            <w:rPr>
              <w:i/>
              <w:iCs/>
              <w:lang w:val="en-GB"/>
            </w:rPr>
            <w:t>Eng</w:t>
          </w:r>
          <w:proofErr w:type="spellEnd"/>
          <w:r w:rsidRPr="00F1666D">
            <w:rPr>
              <w:i/>
              <w:iCs/>
              <w:lang w:val="en-GB"/>
            </w:rPr>
            <w:t xml:space="preserve"> Chem Res</w:t>
          </w:r>
          <w:r w:rsidRPr="00F1666D">
            <w:rPr>
              <w:lang w:val="en-GB"/>
            </w:rPr>
            <w:t xml:space="preserve">, vol. 51, </w:t>
          </w:r>
          <w:proofErr w:type="spellStart"/>
          <w:r w:rsidRPr="00F1666D">
            <w:rPr>
              <w:lang w:val="en-GB"/>
            </w:rPr>
            <w:t>núm</w:t>
          </w:r>
          <w:proofErr w:type="spellEnd"/>
          <w:r w:rsidRPr="00F1666D">
            <w:rPr>
              <w:lang w:val="en-GB"/>
            </w:rPr>
            <w:t xml:space="preserve">. 39, pp. 12577–12585, oct. 2012, </w:t>
          </w:r>
          <w:proofErr w:type="spellStart"/>
          <w:r w:rsidRPr="00F1666D">
            <w:rPr>
              <w:lang w:val="en-GB"/>
            </w:rPr>
            <w:t>doi</w:t>
          </w:r>
          <w:proofErr w:type="spellEnd"/>
          <w:r w:rsidRPr="00F1666D">
            <w:rPr>
              <w:lang w:val="en-GB"/>
            </w:rPr>
            <w:t>: 10.1021/ie202676b.</w:t>
          </w:r>
        </w:p>
        <w:p w14:paraId="2C3B7626" w14:textId="77777777" w:rsidR="00A44BAA" w:rsidRDefault="00A44BAA">
          <w:pPr>
            <w:autoSpaceDE w:val="0"/>
            <w:autoSpaceDN w:val="0"/>
            <w:ind w:hanging="640"/>
            <w:divId w:val="874074176"/>
          </w:pPr>
          <w:r>
            <w:t>[3]</w:t>
          </w:r>
          <w:r>
            <w:tab/>
            <w:t xml:space="preserve">H. O. Benavides Ballesteros y G. E. León </w:t>
          </w:r>
          <w:proofErr w:type="spellStart"/>
          <w:r>
            <w:t>Aristizabal</w:t>
          </w:r>
          <w:proofErr w:type="spellEnd"/>
          <w:r>
            <w:t xml:space="preserve">, “Información técnica sobre Gases de Efecto Invernadero y el cambio climático.”, </w:t>
          </w:r>
          <w:proofErr w:type="spellStart"/>
          <w:r>
            <w:rPr>
              <w:i/>
              <w:iCs/>
            </w:rPr>
            <w:t>Ideam</w:t>
          </w:r>
          <w:proofErr w:type="spellEnd"/>
          <w:r>
            <w:t xml:space="preserve">, pp. 1–102, 2007, </w:t>
          </w:r>
          <w:proofErr w:type="spellStart"/>
          <w:r>
            <w:t>doi</w:t>
          </w:r>
          <w:proofErr w:type="spellEnd"/>
          <w:r>
            <w:t>: IDEAM–METEO/008-2007.</w:t>
          </w:r>
        </w:p>
        <w:p w14:paraId="00305139" w14:textId="77777777" w:rsidR="00A44BAA" w:rsidRPr="00F1666D" w:rsidRDefault="00A44BAA">
          <w:pPr>
            <w:autoSpaceDE w:val="0"/>
            <w:autoSpaceDN w:val="0"/>
            <w:ind w:hanging="640"/>
            <w:divId w:val="1002318109"/>
            <w:rPr>
              <w:lang w:val="en-GB"/>
            </w:rPr>
          </w:pPr>
          <w:r w:rsidRPr="00F1666D">
            <w:rPr>
              <w:lang w:val="en-GB"/>
            </w:rPr>
            <w:t>[4]</w:t>
          </w:r>
          <w:r w:rsidRPr="00F1666D">
            <w:rPr>
              <w:lang w:val="en-GB"/>
            </w:rPr>
            <w:tab/>
            <w:t xml:space="preserve">Intergovernmental Panel on Climate Change, “RT.2.1 Gases de </w:t>
          </w:r>
          <w:proofErr w:type="spellStart"/>
          <w:r w:rsidRPr="00F1666D">
            <w:rPr>
              <w:lang w:val="en-GB"/>
            </w:rPr>
            <w:t>efecto</w:t>
          </w:r>
          <w:proofErr w:type="spellEnd"/>
          <w:r w:rsidRPr="00F1666D">
            <w:rPr>
              <w:lang w:val="en-GB"/>
            </w:rPr>
            <w:t xml:space="preserve"> </w:t>
          </w:r>
          <w:proofErr w:type="spellStart"/>
          <w:r w:rsidRPr="00F1666D">
            <w:rPr>
              <w:lang w:val="en-GB"/>
            </w:rPr>
            <w:t>invernadero</w:t>
          </w:r>
          <w:proofErr w:type="spellEnd"/>
          <w:r w:rsidRPr="00F1666D">
            <w:rPr>
              <w:lang w:val="en-GB"/>
            </w:rPr>
            <w:t xml:space="preserve">”, </w:t>
          </w:r>
          <w:r w:rsidRPr="00F1666D">
            <w:rPr>
              <w:i/>
              <w:iCs/>
              <w:lang w:val="en-GB"/>
            </w:rPr>
            <w:t>IPCC Fourth Assessment Report: Climate Change 2007</w:t>
          </w:r>
          <w:r w:rsidRPr="00F1666D">
            <w:rPr>
              <w:lang w:val="en-GB"/>
            </w:rPr>
            <w:t>. https://archive.ipcc.ch/publications_and_data/ar4/wg1/es/tssts-2-1.html</w:t>
          </w:r>
        </w:p>
        <w:p w14:paraId="58A89AC6" w14:textId="77777777" w:rsidR="00A44BAA" w:rsidRPr="00F1666D" w:rsidRDefault="00A44BAA">
          <w:pPr>
            <w:autoSpaceDE w:val="0"/>
            <w:autoSpaceDN w:val="0"/>
            <w:ind w:hanging="640"/>
            <w:divId w:val="1307665756"/>
            <w:rPr>
              <w:lang w:val="en-GB"/>
            </w:rPr>
          </w:pPr>
          <w:r w:rsidRPr="00F1666D">
            <w:rPr>
              <w:lang w:val="en-GB"/>
            </w:rPr>
            <w:t>[5]</w:t>
          </w:r>
          <w:r w:rsidRPr="00F1666D">
            <w:rPr>
              <w:lang w:val="en-GB"/>
            </w:rPr>
            <w:tab/>
            <w:t>API, “COMPENDIUM OF GREENHOUSE GAS EMISSIONS METHODOLOGIES FOR THE NATURAL GAS AND OIL INDUSTRY”, 2021.</w:t>
          </w:r>
        </w:p>
        <w:p w14:paraId="57467812" w14:textId="77777777" w:rsidR="00A44BAA" w:rsidRPr="00F1666D" w:rsidRDefault="00A44BAA">
          <w:pPr>
            <w:autoSpaceDE w:val="0"/>
            <w:autoSpaceDN w:val="0"/>
            <w:ind w:hanging="640"/>
            <w:divId w:val="518854737"/>
            <w:rPr>
              <w:lang w:val="en-GB"/>
            </w:rPr>
          </w:pPr>
          <w:r w:rsidRPr="00F1666D">
            <w:rPr>
              <w:lang w:val="en-GB"/>
            </w:rPr>
            <w:t>[6]</w:t>
          </w:r>
          <w:r w:rsidRPr="00F1666D">
            <w:rPr>
              <w:lang w:val="en-GB"/>
            </w:rPr>
            <w:tab/>
            <w:t xml:space="preserve">B. Peebles, A. </w:t>
          </w:r>
          <w:proofErr w:type="spellStart"/>
          <w:r w:rsidRPr="00F1666D">
            <w:rPr>
              <w:lang w:val="en-GB"/>
            </w:rPr>
            <w:t>Esl</w:t>
          </w:r>
          <w:proofErr w:type="spellEnd"/>
          <w:r w:rsidRPr="00F1666D">
            <w:rPr>
              <w:lang w:val="en-GB"/>
            </w:rPr>
            <w:t xml:space="preserve">, y P. Stockton, </w:t>
          </w:r>
          <w:r w:rsidRPr="00F1666D">
            <w:rPr>
              <w:i/>
              <w:iCs/>
              <w:lang w:val="en-GB"/>
            </w:rPr>
            <w:t>Offshore flares: measurement and calculation of combustion efficiency, methane and CO2e emissions</w:t>
          </w:r>
          <w:r w:rsidRPr="00F1666D">
            <w:rPr>
              <w:lang w:val="en-GB"/>
            </w:rPr>
            <w:t>. 2022.</w:t>
          </w:r>
        </w:p>
        <w:p w14:paraId="4579201B" w14:textId="77777777" w:rsidR="00A44BAA" w:rsidRPr="00F1666D" w:rsidRDefault="00A44BAA">
          <w:pPr>
            <w:autoSpaceDE w:val="0"/>
            <w:autoSpaceDN w:val="0"/>
            <w:ind w:hanging="640"/>
            <w:divId w:val="1483693041"/>
            <w:rPr>
              <w:lang w:val="en-GB"/>
            </w:rPr>
          </w:pPr>
          <w:r w:rsidRPr="00F1666D">
            <w:rPr>
              <w:lang w:val="en-GB"/>
            </w:rPr>
            <w:t>[7]</w:t>
          </w:r>
          <w:r w:rsidRPr="00F1666D">
            <w:rPr>
              <w:lang w:val="en-GB"/>
            </w:rPr>
            <w:tab/>
            <w:t>Methane Guiding Principles, “OGMP Technical Guidance Document-Flare Efficiency”, jun. 2021.</w:t>
          </w:r>
        </w:p>
        <w:p w14:paraId="5EE489CA" w14:textId="2A484480" w:rsidR="00247B44" w:rsidRPr="00BE293F" w:rsidRDefault="00A44BAA" w:rsidP="00BA547E">
          <w:r w:rsidRPr="00F1666D">
            <w:rPr>
              <w:lang w:val="en-GB"/>
            </w:rPr>
            <w:t> </w:t>
          </w:r>
        </w:p>
      </w:sdtContent>
    </w:sdt>
    <w:sectPr w:rsidR="00247B44" w:rsidRPr="00BE293F" w:rsidSect="00924FB1">
      <w:headerReference w:type="default" r:id="rId12"/>
      <w:footerReference w:type="even" r:id="rId13"/>
      <w:footerReference w:type="default" r:id="rId14"/>
      <w:pgSz w:w="12240" w:h="15840"/>
      <w:pgMar w:top="2265" w:right="1125" w:bottom="1125" w:left="1695" w:header="426" w:footer="705"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16C0D" w16cex:dateUtc="2023-09-17T17:14:00Z"/>
  <w16cex:commentExtensible w16cex:durableId="28B16CD4" w16cex:dateUtc="2023-09-17T17:17:00Z"/>
  <w16cex:commentExtensible w16cex:durableId="28B16CED" w16cex:dateUtc="2023-09-17T17: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44D30" w14:textId="77777777" w:rsidR="00AB45E0" w:rsidRDefault="00AB45E0">
      <w:r>
        <w:separator/>
      </w:r>
    </w:p>
  </w:endnote>
  <w:endnote w:type="continuationSeparator" w:id="0">
    <w:p w14:paraId="4E27AE52" w14:textId="77777777" w:rsidR="00AB45E0" w:rsidRDefault="00AB45E0">
      <w:r>
        <w:continuationSeparator/>
      </w:r>
    </w:p>
  </w:endnote>
  <w:endnote w:type="continuationNotice" w:id="1">
    <w:p w14:paraId="2C8E7F33" w14:textId="77777777" w:rsidR="00AB45E0" w:rsidRDefault="00AB4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CC67" w14:textId="77777777" w:rsidR="00B65982" w:rsidRDefault="00B65982">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w:t>
    </w:r>
    <w:r>
      <w:rPr>
        <w:rStyle w:val="Nmerodepgina"/>
      </w:rPr>
      <w:fldChar w:fldCharType="end"/>
    </w:r>
  </w:p>
  <w:p w14:paraId="503A7FDB" w14:textId="77777777" w:rsidR="00B65982" w:rsidRDefault="00B65982">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4CDE" w14:textId="77777777" w:rsidR="00B65982" w:rsidRDefault="00B65982">
    <w:pPr>
      <w:pStyle w:val="Piedepgina"/>
      <w:jc w:val="center"/>
      <w:rPr>
        <w:rStyle w:val="Hipervnculo"/>
        <w:color w:val="000000"/>
        <w:sz w:val="14"/>
      </w:rPr>
    </w:pPr>
  </w:p>
  <w:tbl>
    <w:tblPr>
      <w:tblW w:w="9417"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3078"/>
      <w:gridCol w:w="3078"/>
    </w:tblGrid>
    <w:tr w:rsidR="00B65982" w:rsidRPr="00927B8C" w14:paraId="41A081C7" w14:textId="77777777" w:rsidTr="00924FB1">
      <w:trPr>
        <w:trHeight w:val="257"/>
      </w:trPr>
      <w:tc>
        <w:tcPr>
          <w:tcW w:w="3261" w:type="dxa"/>
        </w:tcPr>
        <w:p w14:paraId="7CEB2B47" w14:textId="77777777" w:rsidR="00B65982" w:rsidRPr="00927B8C" w:rsidRDefault="00B65982" w:rsidP="00924FB1">
          <w:pPr>
            <w:jc w:val="center"/>
            <w:rPr>
              <w:b/>
              <w:sz w:val="20"/>
            </w:rPr>
          </w:pPr>
          <w:r w:rsidRPr="00927B8C">
            <w:rPr>
              <w:b/>
              <w:sz w:val="20"/>
            </w:rPr>
            <w:t>E</w:t>
          </w:r>
          <w:r>
            <w:rPr>
              <w:b/>
              <w:sz w:val="20"/>
            </w:rPr>
            <w:t>ditó</w:t>
          </w:r>
        </w:p>
      </w:tc>
      <w:tc>
        <w:tcPr>
          <w:tcW w:w="3078" w:type="dxa"/>
          <w:vAlign w:val="bottom"/>
        </w:tcPr>
        <w:p w14:paraId="64E84E15" w14:textId="77777777" w:rsidR="00B65982" w:rsidRPr="00927B8C" w:rsidRDefault="00B65982" w:rsidP="00924FB1">
          <w:pPr>
            <w:jc w:val="center"/>
            <w:rPr>
              <w:rFonts w:eastAsia="Arial Unicode MS"/>
              <w:b/>
              <w:sz w:val="20"/>
            </w:rPr>
          </w:pPr>
          <w:r w:rsidRPr="00927B8C">
            <w:rPr>
              <w:b/>
              <w:sz w:val="20"/>
            </w:rPr>
            <w:t>Revisó</w:t>
          </w:r>
        </w:p>
      </w:tc>
      <w:tc>
        <w:tcPr>
          <w:tcW w:w="3078" w:type="dxa"/>
          <w:vAlign w:val="bottom"/>
        </w:tcPr>
        <w:p w14:paraId="3F086F3E" w14:textId="77777777" w:rsidR="00B65982" w:rsidRPr="00927B8C" w:rsidRDefault="00B65982" w:rsidP="00924FB1">
          <w:pPr>
            <w:jc w:val="center"/>
            <w:rPr>
              <w:rFonts w:eastAsia="Arial Unicode MS"/>
              <w:b/>
              <w:sz w:val="20"/>
            </w:rPr>
          </w:pPr>
          <w:r w:rsidRPr="00927B8C">
            <w:rPr>
              <w:b/>
              <w:sz w:val="20"/>
            </w:rPr>
            <w:t>Aprobó</w:t>
          </w:r>
        </w:p>
      </w:tc>
    </w:tr>
    <w:tr w:rsidR="00B65982" w:rsidRPr="00927B8C" w14:paraId="546EDB2B" w14:textId="77777777" w:rsidTr="00924FB1">
      <w:trPr>
        <w:trHeight w:val="257"/>
      </w:trPr>
      <w:tc>
        <w:tcPr>
          <w:tcW w:w="3261" w:type="dxa"/>
        </w:tcPr>
        <w:p w14:paraId="690F95CC" w14:textId="70AD8160" w:rsidR="00B65982" w:rsidRPr="008C2B30" w:rsidRDefault="00B65982" w:rsidP="00924FB1">
          <w:pPr>
            <w:rPr>
              <w:rFonts w:eastAsia="Arial Unicode MS"/>
              <w:sz w:val="20"/>
              <w:lang w:val="es-ES_tradnl"/>
            </w:rPr>
          </w:pPr>
          <w:r>
            <w:rPr>
              <w:rFonts w:eastAsia="Arial Unicode MS"/>
              <w:sz w:val="20"/>
              <w:lang w:val="es-ES_tradnl"/>
            </w:rPr>
            <w:t>Diana Simancas Caraballo</w:t>
          </w:r>
        </w:p>
      </w:tc>
      <w:tc>
        <w:tcPr>
          <w:tcW w:w="3078" w:type="dxa"/>
          <w:vAlign w:val="bottom"/>
        </w:tcPr>
        <w:p w14:paraId="15F28F59" w14:textId="77DEEBD9" w:rsidR="00B65982" w:rsidRPr="00927B8C" w:rsidRDefault="00B65982" w:rsidP="00924FB1">
          <w:pPr>
            <w:rPr>
              <w:rFonts w:eastAsia="Arial Unicode MS"/>
              <w:sz w:val="20"/>
              <w:lang w:val="en-US"/>
            </w:rPr>
          </w:pPr>
          <w:r>
            <w:rPr>
              <w:rFonts w:eastAsia="Arial Unicode MS"/>
              <w:sz w:val="20"/>
              <w:lang w:val="en-US"/>
            </w:rPr>
            <w:t xml:space="preserve">Eusebio Orozco </w:t>
          </w:r>
          <w:proofErr w:type="spellStart"/>
          <w:r>
            <w:rPr>
              <w:rFonts w:eastAsia="Arial Unicode MS"/>
              <w:sz w:val="20"/>
              <w:lang w:val="en-US"/>
            </w:rPr>
            <w:t>Cera</w:t>
          </w:r>
          <w:proofErr w:type="spellEnd"/>
        </w:p>
      </w:tc>
      <w:tc>
        <w:tcPr>
          <w:tcW w:w="3078" w:type="dxa"/>
          <w:vAlign w:val="bottom"/>
        </w:tcPr>
        <w:p w14:paraId="157213D0" w14:textId="394A35C7" w:rsidR="00B65982" w:rsidRPr="00927B8C" w:rsidRDefault="00B65982" w:rsidP="00924FB1">
          <w:pPr>
            <w:rPr>
              <w:rFonts w:eastAsia="Arial Unicode MS"/>
              <w:sz w:val="20"/>
              <w:lang w:val="en-US"/>
            </w:rPr>
          </w:pPr>
          <w:r>
            <w:rPr>
              <w:rFonts w:eastAsia="Arial Unicode MS"/>
              <w:sz w:val="20"/>
              <w:lang w:val="en-US"/>
            </w:rPr>
            <w:t>Rafael Fajardo Moreno</w:t>
          </w:r>
        </w:p>
      </w:tc>
    </w:tr>
    <w:tr w:rsidR="00B65982" w:rsidRPr="00927B8C" w14:paraId="5B6230A4" w14:textId="77777777" w:rsidTr="00924FB1">
      <w:trPr>
        <w:trHeight w:val="257"/>
      </w:trPr>
      <w:tc>
        <w:tcPr>
          <w:tcW w:w="3261" w:type="dxa"/>
        </w:tcPr>
        <w:p w14:paraId="794612F1" w14:textId="798371AF" w:rsidR="00B65982" w:rsidRDefault="00B65982" w:rsidP="00924FB1">
          <w:pPr>
            <w:rPr>
              <w:rFonts w:eastAsia="Arial Unicode MS"/>
              <w:sz w:val="20"/>
              <w:lang w:val="es-ES_tradnl"/>
            </w:rPr>
          </w:pPr>
          <w:r>
            <w:rPr>
              <w:rFonts w:eastAsia="Arial Unicode MS"/>
              <w:sz w:val="20"/>
              <w:lang w:val="es-ES_tradnl"/>
            </w:rPr>
            <w:t>Yuber Rodríguez Arturo</w:t>
          </w:r>
        </w:p>
      </w:tc>
      <w:tc>
        <w:tcPr>
          <w:tcW w:w="3078" w:type="dxa"/>
          <w:vAlign w:val="bottom"/>
        </w:tcPr>
        <w:p w14:paraId="10519194" w14:textId="04F41403" w:rsidR="00B65982" w:rsidRDefault="00B65982" w:rsidP="00924FB1">
          <w:pPr>
            <w:rPr>
              <w:rFonts w:eastAsia="Arial Unicode MS"/>
              <w:sz w:val="20"/>
              <w:lang w:val="en-US"/>
            </w:rPr>
          </w:pPr>
          <w:r>
            <w:rPr>
              <w:rFonts w:eastAsia="Arial Unicode MS"/>
              <w:sz w:val="20"/>
              <w:lang w:val="en-US"/>
            </w:rPr>
            <w:t xml:space="preserve">Javier </w:t>
          </w:r>
          <w:proofErr w:type="spellStart"/>
          <w:r>
            <w:rPr>
              <w:rFonts w:eastAsia="Arial Unicode MS"/>
              <w:sz w:val="20"/>
              <w:lang w:val="en-US"/>
            </w:rPr>
            <w:t>Cáceres</w:t>
          </w:r>
          <w:proofErr w:type="spellEnd"/>
          <w:r>
            <w:rPr>
              <w:rFonts w:eastAsia="Arial Unicode MS"/>
              <w:sz w:val="20"/>
              <w:lang w:val="en-US"/>
            </w:rPr>
            <w:t xml:space="preserve"> Moreno</w:t>
          </w:r>
        </w:p>
      </w:tc>
      <w:tc>
        <w:tcPr>
          <w:tcW w:w="3078" w:type="dxa"/>
          <w:vAlign w:val="bottom"/>
        </w:tcPr>
        <w:p w14:paraId="244A8F24" w14:textId="3A51EF63" w:rsidR="00B65982" w:rsidRPr="00EB5B34" w:rsidRDefault="00B65982" w:rsidP="00924FB1">
          <w:pPr>
            <w:rPr>
              <w:rFonts w:eastAsia="Arial Unicode MS"/>
              <w:sz w:val="20"/>
              <w:lang w:val="es-MX"/>
            </w:rPr>
          </w:pPr>
          <w:r w:rsidRPr="00EB5B34">
            <w:rPr>
              <w:rFonts w:eastAsia="Arial Unicode MS"/>
              <w:sz w:val="20"/>
              <w:lang w:val="es-MX"/>
            </w:rPr>
            <w:t>Luz Mireya Raymond/Asesor G3</w:t>
          </w:r>
          <w:r>
            <w:rPr>
              <w:rFonts w:eastAsia="Arial Unicode MS"/>
              <w:sz w:val="20"/>
              <w:lang w:val="es-MX"/>
            </w:rPr>
            <w:t xml:space="preserve"> G6</w:t>
          </w:r>
        </w:p>
      </w:tc>
    </w:tr>
    <w:tr w:rsidR="00B65982" w:rsidRPr="00927B8C" w14:paraId="23DF40EC" w14:textId="77777777" w:rsidTr="00924FB1">
      <w:trPr>
        <w:trHeight w:val="257"/>
      </w:trPr>
      <w:tc>
        <w:tcPr>
          <w:tcW w:w="3261" w:type="dxa"/>
          <w:vAlign w:val="bottom"/>
        </w:tcPr>
        <w:p w14:paraId="3BDADAD6" w14:textId="71DF4257" w:rsidR="00B65982" w:rsidRPr="00927B8C" w:rsidRDefault="00B65982" w:rsidP="00924FB1">
          <w:pPr>
            <w:rPr>
              <w:rFonts w:eastAsia="Arial Unicode MS"/>
              <w:sz w:val="20"/>
              <w:lang w:val="en-US"/>
            </w:rPr>
          </w:pPr>
          <w:r w:rsidRPr="00927B8C">
            <w:rPr>
              <w:rFonts w:eastAsia="Arial Unicode MS"/>
              <w:sz w:val="20"/>
              <w:lang w:val="en-US"/>
            </w:rPr>
            <w:t xml:space="preserve">CARGO: </w:t>
          </w:r>
          <w:proofErr w:type="spellStart"/>
          <w:r>
            <w:rPr>
              <w:rFonts w:eastAsia="Arial Unicode MS"/>
              <w:sz w:val="20"/>
              <w:lang w:val="en-US"/>
            </w:rPr>
            <w:t>Contratistas</w:t>
          </w:r>
          <w:proofErr w:type="spellEnd"/>
          <w:r>
            <w:rPr>
              <w:rFonts w:eastAsia="Arial Unicode MS"/>
              <w:sz w:val="20"/>
              <w:lang w:val="en-US"/>
            </w:rPr>
            <w:t xml:space="preserve"> VORP</w:t>
          </w:r>
        </w:p>
      </w:tc>
      <w:tc>
        <w:tcPr>
          <w:tcW w:w="3078" w:type="dxa"/>
          <w:vAlign w:val="bottom"/>
        </w:tcPr>
        <w:p w14:paraId="560A11E4" w14:textId="70D4EB90" w:rsidR="00B65982" w:rsidRPr="008C2B30" w:rsidRDefault="00B65982" w:rsidP="00924FB1">
          <w:pPr>
            <w:rPr>
              <w:rFonts w:eastAsia="Arial Unicode MS"/>
              <w:sz w:val="20"/>
              <w:lang w:val="es-ES_tradnl"/>
            </w:rPr>
          </w:pPr>
          <w:r w:rsidRPr="008C2B30">
            <w:rPr>
              <w:rFonts w:eastAsia="Arial Unicode MS"/>
              <w:sz w:val="20"/>
              <w:lang w:val="es-ES_tradnl"/>
            </w:rPr>
            <w:t xml:space="preserve">CARGO: </w:t>
          </w:r>
          <w:proofErr w:type="spellStart"/>
          <w:r>
            <w:rPr>
              <w:rFonts w:eastAsia="Arial Unicode MS"/>
              <w:sz w:val="20"/>
              <w:lang w:val="en-US"/>
            </w:rPr>
            <w:t>Contratista</w:t>
          </w:r>
          <w:proofErr w:type="spellEnd"/>
          <w:r>
            <w:rPr>
              <w:rFonts w:eastAsia="Arial Unicode MS"/>
              <w:sz w:val="20"/>
              <w:lang w:val="en-US"/>
            </w:rPr>
            <w:t xml:space="preserve"> VORP</w:t>
          </w:r>
        </w:p>
      </w:tc>
      <w:tc>
        <w:tcPr>
          <w:tcW w:w="3078" w:type="dxa"/>
          <w:vAlign w:val="bottom"/>
        </w:tcPr>
        <w:p w14:paraId="5B5D42F9" w14:textId="6D789B02" w:rsidR="00B65982" w:rsidRPr="00927B8C" w:rsidRDefault="00B65982" w:rsidP="00924FB1">
          <w:pPr>
            <w:rPr>
              <w:rFonts w:eastAsia="Arial Unicode MS"/>
              <w:sz w:val="20"/>
            </w:rPr>
          </w:pPr>
          <w:r w:rsidRPr="00927B8C">
            <w:rPr>
              <w:rFonts w:eastAsia="Arial Unicode MS"/>
              <w:sz w:val="20"/>
            </w:rPr>
            <w:t xml:space="preserve">CARGO: </w:t>
          </w:r>
          <w:r>
            <w:rPr>
              <w:rFonts w:eastAsia="Arial Unicode MS"/>
              <w:sz w:val="20"/>
            </w:rPr>
            <w:t>Vicepresidente VORP</w:t>
          </w:r>
        </w:p>
      </w:tc>
    </w:tr>
  </w:tbl>
  <w:p w14:paraId="4EE28808" w14:textId="77777777" w:rsidR="00B65982" w:rsidRDefault="00B65982">
    <w:pPr>
      <w:pStyle w:val="Piedepgina"/>
      <w:jc w:val="center"/>
      <w:rPr>
        <w:rStyle w:val="Hipervnculo"/>
        <w:color w:val="000000"/>
        <w:sz w:val="14"/>
      </w:rPr>
    </w:pPr>
  </w:p>
  <w:p w14:paraId="5950BC91" w14:textId="5A70B74C" w:rsidR="00B65982" w:rsidRDefault="00B65982" w:rsidP="00844CD0">
    <w:pPr>
      <w:pStyle w:val="Encabezado"/>
      <w:framePr w:w="1001" w:h="211" w:hRule="exact" w:wrap="none" w:vAnchor="text" w:hAnchor="page" w:x="5901"/>
      <w:jc w:val="center"/>
      <w:rPr>
        <w:sz w:val="15"/>
      </w:rPr>
    </w:pPr>
    <w:proofErr w:type="spellStart"/>
    <w:r>
      <w:rPr>
        <w:sz w:val="15"/>
        <w:lang w:val="es-ES"/>
      </w:rPr>
      <w:t>Pág</w:t>
    </w:r>
    <w:proofErr w:type="spellEnd"/>
    <w:r>
      <w:rPr>
        <w:sz w:val="15"/>
        <w:lang w:val="es-ES"/>
      </w:rPr>
      <w:t xml:space="preserve"> </w:t>
    </w:r>
    <w:r>
      <w:rPr>
        <w:b/>
        <w:sz w:val="15"/>
      </w:rPr>
      <w:fldChar w:fldCharType="begin"/>
    </w:r>
    <w:r>
      <w:rPr>
        <w:b/>
        <w:sz w:val="15"/>
      </w:rPr>
      <w:instrText>PAGE</w:instrText>
    </w:r>
    <w:r>
      <w:rPr>
        <w:b/>
        <w:sz w:val="15"/>
      </w:rPr>
      <w:fldChar w:fldCharType="separate"/>
    </w:r>
    <w:r>
      <w:rPr>
        <w:b/>
        <w:noProof/>
        <w:sz w:val="15"/>
      </w:rPr>
      <w:t>11</w:t>
    </w:r>
    <w:r>
      <w:rPr>
        <w:b/>
        <w:sz w:val="15"/>
      </w:rPr>
      <w:fldChar w:fldCharType="end"/>
    </w:r>
    <w:r>
      <w:rPr>
        <w:sz w:val="15"/>
        <w:lang w:val="es-ES"/>
      </w:rPr>
      <w:t xml:space="preserve"> de </w:t>
    </w:r>
    <w:r>
      <w:rPr>
        <w:b/>
        <w:sz w:val="15"/>
      </w:rPr>
      <w:fldChar w:fldCharType="begin"/>
    </w:r>
    <w:r>
      <w:rPr>
        <w:b/>
        <w:sz w:val="15"/>
      </w:rPr>
      <w:instrText>NUMPAGES</w:instrText>
    </w:r>
    <w:r>
      <w:rPr>
        <w:b/>
        <w:sz w:val="15"/>
      </w:rPr>
      <w:fldChar w:fldCharType="separate"/>
    </w:r>
    <w:r>
      <w:rPr>
        <w:b/>
        <w:noProof/>
        <w:sz w:val="15"/>
      </w:rPr>
      <w:t>16</w:t>
    </w:r>
    <w:r>
      <w:rPr>
        <w:b/>
        <w:sz w:val="15"/>
      </w:rPr>
      <w:fldChar w:fldCharType="end"/>
    </w:r>
  </w:p>
  <w:p w14:paraId="095EF2F3" w14:textId="77777777" w:rsidR="00B65982" w:rsidRDefault="00B65982" w:rsidP="00844CD0">
    <w:pPr>
      <w:pStyle w:val="Piedepgina"/>
      <w:framePr w:w="1001" w:h="211" w:hRule="exact" w:wrap="none" w:vAnchor="text" w:hAnchor="page" w:x="5901"/>
      <w:jc w:val="center"/>
      <w:rPr>
        <w:rStyle w:val="Nmerodepgina"/>
        <w:sz w:val="15"/>
      </w:rPr>
    </w:pPr>
  </w:p>
  <w:p w14:paraId="1A9B19D0" w14:textId="4818E178" w:rsidR="00B65982" w:rsidRDefault="00B65982">
    <w:pPr>
      <w:pStyle w:val="Piedepgina"/>
      <w:jc w:val="both"/>
      <w:rPr>
        <w:b/>
        <w:sz w:val="16"/>
      </w:rPr>
    </w:pPr>
    <w:r>
      <w:rPr>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7B02" w14:textId="77777777" w:rsidR="00AB45E0" w:rsidRDefault="00AB45E0">
      <w:r>
        <w:separator/>
      </w:r>
    </w:p>
  </w:footnote>
  <w:footnote w:type="continuationSeparator" w:id="0">
    <w:p w14:paraId="5ABD5B4C" w14:textId="77777777" w:rsidR="00AB45E0" w:rsidRDefault="00AB45E0">
      <w:r>
        <w:continuationSeparator/>
      </w:r>
    </w:p>
  </w:footnote>
  <w:footnote w:type="continuationNotice" w:id="1">
    <w:p w14:paraId="7E39EDE6" w14:textId="77777777" w:rsidR="00AB45E0" w:rsidRDefault="00AB4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386"/>
      <w:gridCol w:w="1559"/>
      <w:gridCol w:w="936"/>
    </w:tblGrid>
    <w:tr w:rsidR="00B65982" w14:paraId="36576884" w14:textId="77777777" w:rsidTr="00750829">
      <w:trPr>
        <w:cantSplit/>
        <w:trHeight w:val="312"/>
      </w:trPr>
      <w:tc>
        <w:tcPr>
          <w:tcW w:w="1985" w:type="dxa"/>
          <w:vMerge w:val="restart"/>
          <w:tcBorders>
            <w:top w:val="single" w:sz="12" w:space="0" w:color="auto"/>
            <w:left w:val="single" w:sz="12" w:space="0" w:color="auto"/>
          </w:tcBorders>
        </w:tcPr>
        <w:p w14:paraId="6125E00B" w14:textId="77777777" w:rsidR="00B65982" w:rsidRDefault="00B65982" w:rsidP="00924FB1">
          <w:pPr>
            <w:pStyle w:val="Encabezado"/>
            <w:rPr>
              <w:noProof/>
              <w:sz w:val="14"/>
            </w:rPr>
          </w:pPr>
        </w:p>
        <w:p w14:paraId="0510E635" w14:textId="77777777" w:rsidR="00B65982" w:rsidRDefault="00B65982" w:rsidP="00924FB1">
          <w:pPr>
            <w:pStyle w:val="Encabezado"/>
            <w:rPr>
              <w:sz w:val="14"/>
            </w:rPr>
          </w:pPr>
          <w:r>
            <w:rPr>
              <w:noProof/>
              <w:color w:val="1F497D"/>
            </w:rPr>
            <w:drawing>
              <wp:inline distT="0" distB="0" distL="0" distR="0" wp14:anchorId="3EA9E5FB" wp14:editId="16E8978B">
                <wp:extent cx="1164167" cy="539750"/>
                <wp:effectExtent l="0" t="0" r="0" b="0"/>
                <wp:docPr id="2" name="Imagen 2" descr="cid:image001.jpg@01CFE94A.B059C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94A.B059C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7395" cy="550519"/>
                        </a:xfrm>
                        <a:prstGeom prst="rect">
                          <a:avLst/>
                        </a:prstGeom>
                        <a:noFill/>
                        <a:ln>
                          <a:noFill/>
                        </a:ln>
                      </pic:spPr>
                    </pic:pic>
                  </a:graphicData>
                </a:graphic>
              </wp:inline>
            </w:drawing>
          </w:r>
        </w:p>
      </w:tc>
      <w:tc>
        <w:tcPr>
          <w:tcW w:w="5386" w:type="dxa"/>
          <w:vMerge w:val="restart"/>
          <w:tcBorders>
            <w:top w:val="single" w:sz="12" w:space="0" w:color="auto"/>
          </w:tcBorders>
          <w:vAlign w:val="center"/>
        </w:tcPr>
        <w:p w14:paraId="745C3B6B" w14:textId="5D7DA18E" w:rsidR="00B65982" w:rsidRPr="007B26EB" w:rsidRDefault="00B65982" w:rsidP="00924FB1">
          <w:pPr>
            <w:pStyle w:val="Encabezado"/>
            <w:jc w:val="center"/>
            <w:rPr>
              <w:b/>
              <w:color w:val="FF0000"/>
              <w:szCs w:val="22"/>
            </w:rPr>
          </w:pPr>
          <w:r w:rsidRPr="002E180E">
            <w:rPr>
              <w:b/>
              <w:sz w:val="18"/>
              <w:szCs w:val="22"/>
            </w:rPr>
            <w:t xml:space="preserve">LINEAMIENTOS </w:t>
          </w:r>
          <w:r>
            <w:rPr>
              <w:b/>
              <w:sz w:val="18"/>
              <w:szCs w:val="22"/>
            </w:rPr>
            <w:t xml:space="preserve">TÉCNICOS PARA EVALUACIÓN DE </w:t>
          </w:r>
          <w:r w:rsidRPr="002E180E">
            <w:rPr>
              <w:b/>
              <w:sz w:val="18"/>
              <w:szCs w:val="22"/>
            </w:rPr>
            <w:t xml:space="preserve">EFICIENCIA DE </w:t>
          </w:r>
          <w:r>
            <w:rPr>
              <w:b/>
              <w:sz w:val="18"/>
              <w:szCs w:val="22"/>
            </w:rPr>
            <w:t xml:space="preserve">COMBUSTIÓN EN </w:t>
          </w:r>
          <w:r w:rsidRPr="002E180E">
            <w:rPr>
              <w:b/>
              <w:sz w:val="18"/>
              <w:szCs w:val="22"/>
            </w:rPr>
            <w:t xml:space="preserve">TEA PARA QUEMA DE GAS NATURAL EN </w:t>
          </w:r>
          <w:r>
            <w:rPr>
              <w:b/>
              <w:sz w:val="18"/>
              <w:szCs w:val="22"/>
            </w:rPr>
            <w:t xml:space="preserve">EXPLORACIÓN Y PRODUCCIÓN </w:t>
          </w:r>
        </w:p>
      </w:tc>
      <w:tc>
        <w:tcPr>
          <w:tcW w:w="1559" w:type="dxa"/>
          <w:tcBorders>
            <w:top w:val="single" w:sz="12" w:space="0" w:color="auto"/>
          </w:tcBorders>
          <w:vAlign w:val="center"/>
        </w:tcPr>
        <w:p w14:paraId="1160729B" w14:textId="77777777" w:rsidR="00B65982" w:rsidRPr="00602121" w:rsidRDefault="00B65982" w:rsidP="00924FB1">
          <w:pPr>
            <w:pStyle w:val="Encabezado"/>
            <w:jc w:val="center"/>
            <w:rPr>
              <w:sz w:val="20"/>
            </w:rPr>
          </w:pPr>
          <w:r w:rsidRPr="00602121">
            <w:rPr>
              <w:sz w:val="20"/>
            </w:rPr>
            <w:t>Código</w:t>
          </w:r>
        </w:p>
      </w:tc>
      <w:tc>
        <w:tcPr>
          <w:tcW w:w="936" w:type="dxa"/>
          <w:tcBorders>
            <w:top w:val="single" w:sz="12" w:space="0" w:color="auto"/>
            <w:right w:val="single" w:sz="12" w:space="0" w:color="auto"/>
          </w:tcBorders>
          <w:vAlign w:val="center"/>
        </w:tcPr>
        <w:p w14:paraId="3C196C2A" w14:textId="77777777" w:rsidR="00B65982" w:rsidRPr="00602121" w:rsidRDefault="00B65982" w:rsidP="00924FB1">
          <w:pPr>
            <w:pStyle w:val="Encabezado"/>
            <w:jc w:val="center"/>
            <w:rPr>
              <w:sz w:val="20"/>
            </w:rPr>
          </w:pPr>
          <w:r w:rsidRPr="00602121">
            <w:rPr>
              <w:sz w:val="20"/>
            </w:rPr>
            <w:t>Página</w:t>
          </w:r>
        </w:p>
      </w:tc>
    </w:tr>
    <w:tr w:rsidR="00B65982" w14:paraId="2F1914E3" w14:textId="77777777" w:rsidTr="00750829">
      <w:trPr>
        <w:cantSplit/>
        <w:trHeight w:val="312"/>
      </w:trPr>
      <w:tc>
        <w:tcPr>
          <w:tcW w:w="1985" w:type="dxa"/>
          <w:vMerge/>
          <w:tcBorders>
            <w:left w:val="single" w:sz="12" w:space="0" w:color="auto"/>
          </w:tcBorders>
        </w:tcPr>
        <w:p w14:paraId="525160F3" w14:textId="77777777" w:rsidR="00B65982" w:rsidRDefault="00B65982" w:rsidP="00924FB1">
          <w:pPr>
            <w:pStyle w:val="Encabezado"/>
            <w:rPr>
              <w:noProof/>
            </w:rPr>
          </w:pPr>
        </w:p>
      </w:tc>
      <w:tc>
        <w:tcPr>
          <w:tcW w:w="5386" w:type="dxa"/>
          <w:vMerge/>
        </w:tcPr>
        <w:p w14:paraId="170131AE" w14:textId="77777777" w:rsidR="00B65982" w:rsidRPr="00602121" w:rsidRDefault="00B65982" w:rsidP="00924FB1">
          <w:pPr>
            <w:pStyle w:val="Encabezado"/>
            <w:rPr>
              <w:sz w:val="20"/>
            </w:rPr>
          </w:pPr>
        </w:p>
      </w:tc>
      <w:tc>
        <w:tcPr>
          <w:tcW w:w="1559" w:type="dxa"/>
          <w:tcBorders>
            <w:bottom w:val="single" w:sz="4" w:space="0" w:color="auto"/>
          </w:tcBorders>
          <w:vAlign w:val="center"/>
        </w:tcPr>
        <w:p w14:paraId="23DBAD2A" w14:textId="77777777" w:rsidR="00B65982" w:rsidRPr="00843B35" w:rsidRDefault="00B65982" w:rsidP="00924FB1">
          <w:pPr>
            <w:pStyle w:val="Encabezado"/>
            <w:jc w:val="center"/>
            <w:rPr>
              <w:sz w:val="18"/>
              <w:szCs w:val="18"/>
              <w:lang w:val="en-US"/>
            </w:rPr>
          </w:pPr>
          <w:r w:rsidRPr="00493364">
            <w:rPr>
              <w:rFonts w:cs="Arial"/>
              <w:sz w:val="18"/>
              <w:szCs w:val="18"/>
              <w:highlight w:val="yellow"/>
              <w:lang w:val="pt-BR"/>
            </w:rPr>
            <w:t>ANH-XX-PR-XX</w:t>
          </w:r>
        </w:p>
      </w:tc>
      <w:tc>
        <w:tcPr>
          <w:tcW w:w="936" w:type="dxa"/>
          <w:tcBorders>
            <w:bottom w:val="single" w:sz="4" w:space="0" w:color="auto"/>
            <w:right w:val="single" w:sz="12" w:space="0" w:color="auto"/>
          </w:tcBorders>
          <w:vAlign w:val="center"/>
        </w:tcPr>
        <w:p w14:paraId="3D8EECA4" w14:textId="0A242C83" w:rsidR="00B65982" w:rsidRPr="00602121" w:rsidRDefault="00B65982" w:rsidP="00493364">
          <w:pPr>
            <w:pStyle w:val="Encabezado"/>
            <w:jc w:val="center"/>
            <w:rPr>
              <w:sz w:val="20"/>
            </w:rPr>
          </w:pPr>
          <w:r w:rsidRPr="00542A2A">
            <w:rPr>
              <w:rFonts w:cs="Arial"/>
              <w:sz w:val="16"/>
              <w:szCs w:val="16"/>
              <w:lang w:val="pt-BR"/>
            </w:rPr>
            <w:fldChar w:fldCharType="begin"/>
          </w:r>
          <w:r w:rsidRPr="00542A2A">
            <w:rPr>
              <w:rFonts w:cs="Arial"/>
              <w:sz w:val="16"/>
              <w:szCs w:val="16"/>
              <w:lang w:val="pt-BR"/>
            </w:rPr>
            <w:instrText>PAGE   \* MERGEFORMAT</w:instrText>
          </w:r>
          <w:r w:rsidRPr="00542A2A">
            <w:rPr>
              <w:rFonts w:cs="Arial"/>
              <w:sz w:val="16"/>
              <w:szCs w:val="16"/>
              <w:lang w:val="pt-BR"/>
            </w:rPr>
            <w:fldChar w:fldCharType="separate"/>
          </w:r>
          <w:r>
            <w:rPr>
              <w:rFonts w:cs="Arial"/>
              <w:sz w:val="16"/>
              <w:szCs w:val="16"/>
              <w:lang w:val="pt-BR"/>
            </w:rPr>
            <w:t>1</w:t>
          </w:r>
          <w:r w:rsidRPr="00542A2A">
            <w:rPr>
              <w:rFonts w:cs="Arial"/>
              <w:sz w:val="16"/>
              <w:szCs w:val="16"/>
              <w:lang w:val="pt-BR"/>
            </w:rPr>
            <w:fldChar w:fldCharType="end"/>
          </w:r>
          <w:r w:rsidRPr="00542A2A">
            <w:rPr>
              <w:rStyle w:val="Nmerodepgina"/>
              <w:rFonts w:cs="Arial"/>
              <w:sz w:val="16"/>
              <w:szCs w:val="16"/>
              <w:lang w:val="pt-BR"/>
            </w:rPr>
            <w:t xml:space="preserve"> </w:t>
          </w:r>
          <w:r w:rsidRPr="00542A2A">
            <w:rPr>
              <w:rFonts w:cs="Arial"/>
              <w:sz w:val="16"/>
              <w:szCs w:val="16"/>
              <w:lang w:val="pt-BR"/>
            </w:rPr>
            <w:t xml:space="preserve">de </w:t>
          </w:r>
          <w:r>
            <w:rPr>
              <w:rFonts w:cs="Arial"/>
              <w:sz w:val="16"/>
              <w:szCs w:val="16"/>
              <w:lang w:val="pt-BR"/>
            </w:rPr>
            <w:t>1</w:t>
          </w:r>
          <w:r w:rsidR="003A7D83">
            <w:rPr>
              <w:rFonts w:cs="Arial"/>
              <w:sz w:val="16"/>
              <w:szCs w:val="16"/>
              <w:lang w:val="pt-BR"/>
            </w:rPr>
            <w:t>5</w:t>
          </w:r>
          <w:r w:rsidRPr="00602121">
            <w:rPr>
              <w:vanish/>
              <w:sz w:val="20"/>
            </w:rPr>
            <w:pgNum/>
          </w:r>
        </w:p>
      </w:tc>
    </w:tr>
    <w:tr w:rsidR="00B65982" w14:paraId="349EAE97" w14:textId="77777777" w:rsidTr="00750829">
      <w:trPr>
        <w:cantSplit/>
        <w:trHeight w:val="312"/>
      </w:trPr>
      <w:tc>
        <w:tcPr>
          <w:tcW w:w="1985" w:type="dxa"/>
          <w:vMerge/>
          <w:tcBorders>
            <w:left w:val="single" w:sz="12" w:space="0" w:color="auto"/>
          </w:tcBorders>
        </w:tcPr>
        <w:p w14:paraId="704322FA" w14:textId="77777777" w:rsidR="00B65982" w:rsidRDefault="00B65982" w:rsidP="00924FB1">
          <w:pPr>
            <w:pStyle w:val="Encabezado"/>
            <w:rPr>
              <w:noProof/>
            </w:rPr>
          </w:pPr>
        </w:p>
      </w:tc>
      <w:tc>
        <w:tcPr>
          <w:tcW w:w="5386" w:type="dxa"/>
          <w:vMerge/>
        </w:tcPr>
        <w:p w14:paraId="5AA1BAD8" w14:textId="77777777" w:rsidR="00B65982" w:rsidRPr="00602121" w:rsidRDefault="00B65982" w:rsidP="00924FB1">
          <w:pPr>
            <w:pStyle w:val="Encabezado"/>
            <w:rPr>
              <w:sz w:val="20"/>
            </w:rPr>
          </w:pPr>
        </w:p>
      </w:tc>
      <w:tc>
        <w:tcPr>
          <w:tcW w:w="1559" w:type="dxa"/>
          <w:tcBorders>
            <w:right w:val="single" w:sz="2" w:space="0" w:color="auto"/>
          </w:tcBorders>
          <w:vAlign w:val="center"/>
        </w:tcPr>
        <w:p w14:paraId="0989CB36" w14:textId="77777777" w:rsidR="00B65982" w:rsidRPr="00843B35" w:rsidRDefault="00B65982" w:rsidP="00924FB1">
          <w:pPr>
            <w:pStyle w:val="Encabezado"/>
            <w:jc w:val="center"/>
            <w:rPr>
              <w:rFonts w:cs="Arial"/>
              <w:sz w:val="18"/>
              <w:szCs w:val="18"/>
              <w:lang w:val="pt-BR"/>
            </w:rPr>
          </w:pPr>
          <w:r>
            <w:rPr>
              <w:rFonts w:cs="Arial"/>
              <w:sz w:val="18"/>
              <w:szCs w:val="18"/>
              <w:lang w:val="pt-BR"/>
            </w:rPr>
            <w:t>Fecha</w:t>
          </w:r>
        </w:p>
      </w:tc>
      <w:tc>
        <w:tcPr>
          <w:tcW w:w="936" w:type="dxa"/>
          <w:tcBorders>
            <w:left w:val="single" w:sz="2" w:space="0" w:color="auto"/>
            <w:right w:val="single" w:sz="12" w:space="0" w:color="auto"/>
          </w:tcBorders>
          <w:vAlign w:val="center"/>
        </w:tcPr>
        <w:p w14:paraId="064588D3" w14:textId="3B112E46" w:rsidR="00B65982" w:rsidRPr="00843B35" w:rsidRDefault="00B65982" w:rsidP="00924FB1">
          <w:pPr>
            <w:pStyle w:val="Encabezado"/>
            <w:jc w:val="center"/>
            <w:rPr>
              <w:rFonts w:cs="Arial"/>
              <w:sz w:val="18"/>
              <w:szCs w:val="18"/>
              <w:lang w:val="pt-BR"/>
            </w:rPr>
          </w:pPr>
          <w:proofErr w:type="spellStart"/>
          <w:r>
            <w:rPr>
              <w:rFonts w:cs="Arial"/>
              <w:sz w:val="18"/>
              <w:szCs w:val="18"/>
              <w:lang w:val="pt-BR"/>
            </w:rPr>
            <w:t>Versión</w:t>
          </w:r>
          <w:proofErr w:type="spellEnd"/>
        </w:p>
      </w:tc>
    </w:tr>
    <w:tr w:rsidR="00B65982" w14:paraId="7AE858F7" w14:textId="77777777" w:rsidTr="00750829">
      <w:trPr>
        <w:cantSplit/>
        <w:trHeight w:val="312"/>
      </w:trPr>
      <w:tc>
        <w:tcPr>
          <w:tcW w:w="1985" w:type="dxa"/>
          <w:vMerge/>
          <w:tcBorders>
            <w:left w:val="single" w:sz="12" w:space="0" w:color="auto"/>
            <w:bottom w:val="single" w:sz="12" w:space="0" w:color="auto"/>
          </w:tcBorders>
        </w:tcPr>
        <w:p w14:paraId="469CA994" w14:textId="77777777" w:rsidR="00B65982" w:rsidRDefault="00B65982" w:rsidP="00924FB1">
          <w:pPr>
            <w:pStyle w:val="Encabezado"/>
            <w:rPr>
              <w:noProof/>
            </w:rPr>
          </w:pPr>
        </w:p>
      </w:tc>
      <w:tc>
        <w:tcPr>
          <w:tcW w:w="5386" w:type="dxa"/>
          <w:vMerge/>
          <w:tcBorders>
            <w:bottom w:val="single" w:sz="12" w:space="0" w:color="auto"/>
          </w:tcBorders>
        </w:tcPr>
        <w:p w14:paraId="03225AA0" w14:textId="77777777" w:rsidR="00B65982" w:rsidRPr="00602121" w:rsidRDefault="00B65982" w:rsidP="00924FB1">
          <w:pPr>
            <w:pStyle w:val="Encabezado"/>
            <w:rPr>
              <w:sz w:val="20"/>
            </w:rPr>
          </w:pPr>
        </w:p>
      </w:tc>
      <w:tc>
        <w:tcPr>
          <w:tcW w:w="1559" w:type="dxa"/>
          <w:tcBorders>
            <w:bottom w:val="single" w:sz="12" w:space="0" w:color="auto"/>
            <w:right w:val="single" w:sz="2" w:space="0" w:color="auto"/>
          </w:tcBorders>
          <w:vAlign w:val="center"/>
        </w:tcPr>
        <w:p w14:paraId="57FB6704" w14:textId="77777777" w:rsidR="00B65982" w:rsidRPr="00843B35" w:rsidRDefault="00B65982" w:rsidP="00924FB1">
          <w:pPr>
            <w:pStyle w:val="Encabezado"/>
            <w:jc w:val="center"/>
            <w:rPr>
              <w:rFonts w:cs="Arial"/>
              <w:sz w:val="18"/>
              <w:szCs w:val="18"/>
              <w:lang w:val="pt-BR"/>
            </w:rPr>
          </w:pPr>
          <w:r w:rsidRPr="00493364">
            <w:rPr>
              <w:rFonts w:cs="Arial"/>
              <w:sz w:val="18"/>
              <w:szCs w:val="18"/>
              <w:highlight w:val="yellow"/>
              <w:lang w:val="pt-BR"/>
            </w:rPr>
            <w:t>XX</w:t>
          </w:r>
        </w:p>
      </w:tc>
      <w:tc>
        <w:tcPr>
          <w:tcW w:w="936" w:type="dxa"/>
          <w:tcBorders>
            <w:left w:val="single" w:sz="2" w:space="0" w:color="auto"/>
            <w:bottom w:val="single" w:sz="12" w:space="0" w:color="auto"/>
            <w:right w:val="single" w:sz="12" w:space="0" w:color="auto"/>
          </w:tcBorders>
          <w:vAlign w:val="center"/>
        </w:tcPr>
        <w:p w14:paraId="62ABFBD0" w14:textId="77777777" w:rsidR="00B65982" w:rsidRPr="00843B35" w:rsidRDefault="00B65982" w:rsidP="00924FB1">
          <w:pPr>
            <w:pStyle w:val="Encabezado"/>
            <w:jc w:val="center"/>
            <w:rPr>
              <w:rFonts w:cs="Arial"/>
              <w:sz w:val="18"/>
              <w:szCs w:val="18"/>
              <w:lang w:val="pt-BR"/>
            </w:rPr>
          </w:pPr>
          <w:r>
            <w:rPr>
              <w:rFonts w:cs="Arial"/>
              <w:sz w:val="18"/>
              <w:szCs w:val="18"/>
              <w:lang w:val="pt-BR"/>
            </w:rPr>
            <w:t>1</w:t>
          </w:r>
        </w:p>
      </w:tc>
    </w:tr>
  </w:tbl>
  <w:p w14:paraId="39A981AE" w14:textId="77777777" w:rsidR="00B65982" w:rsidRDefault="00B65982" w:rsidP="00924F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7B"/>
    <w:multiLevelType w:val="hybridMultilevel"/>
    <w:tmpl w:val="10943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F812E7"/>
    <w:multiLevelType w:val="hybridMultilevel"/>
    <w:tmpl w:val="B9A0CDF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FD4551"/>
    <w:multiLevelType w:val="hybridMultilevel"/>
    <w:tmpl w:val="23BC3944"/>
    <w:lvl w:ilvl="0" w:tplc="5F0E06BE">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AB3519"/>
    <w:multiLevelType w:val="multilevel"/>
    <w:tmpl w:val="BFBE5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123518"/>
    <w:multiLevelType w:val="hybridMultilevel"/>
    <w:tmpl w:val="553896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85C6BED"/>
    <w:multiLevelType w:val="hybridMultilevel"/>
    <w:tmpl w:val="3FD074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0A3660E6"/>
    <w:multiLevelType w:val="hybridMultilevel"/>
    <w:tmpl w:val="AF806CBA"/>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0F666F2F"/>
    <w:multiLevelType w:val="multilevel"/>
    <w:tmpl w:val="BFBE5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9576D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552D6C"/>
    <w:multiLevelType w:val="multilevel"/>
    <w:tmpl w:val="BFBE5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445BEA"/>
    <w:multiLevelType w:val="hybridMultilevel"/>
    <w:tmpl w:val="C7549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FD5DA4"/>
    <w:multiLevelType w:val="hybridMultilevel"/>
    <w:tmpl w:val="A53EDB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1EB6B05"/>
    <w:multiLevelType w:val="hybridMultilevel"/>
    <w:tmpl w:val="F2BE1D5E"/>
    <w:lvl w:ilvl="0" w:tplc="0C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29B65DE1"/>
    <w:multiLevelType w:val="hybridMultilevel"/>
    <w:tmpl w:val="A10EFC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EA0193"/>
    <w:multiLevelType w:val="multilevel"/>
    <w:tmpl w:val="BFBE5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6670A3"/>
    <w:multiLevelType w:val="hybridMultilevel"/>
    <w:tmpl w:val="EB2CB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D60ECA"/>
    <w:multiLevelType w:val="hybridMultilevel"/>
    <w:tmpl w:val="08B451EE"/>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34026625"/>
    <w:multiLevelType w:val="hybridMultilevel"/>
    <w:tmpl w:val="DCF8CB90"/>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hint="default"/>
      </w:rPr>
    </w:lvl>
    <w:lvl w:ilvl="3" w:tplc="240A000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15:restartNumberingAfterBreak="0">
    <w:nsid w:val="350B12E4"/>
    <w:multiLevelType w:val="hybridMultilevel"/>
    <w:tmpl w:val="8A0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8082A"/>
    <w:multiLevelType w:val="multilevel"/>
    <w:tmpl w:val="C6C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75590"/>
    <w:multiLevelType w:val="hybridMultilevel"/>
    <w:tmpl w:val="79845DB0"/>
    <w:lvl w:ilvl="0" w:tplc="4C30592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F50AE8"/>
    <w:multiLevelType w:val="hybridMultilevel"/>
    <w:tmpl w:val="BB9828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7DB5E12"/>
    <w:multiLevelType w:val="multilevel"/>
    <w:tmpl w:val="BFBE5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0D4040"/>
    <w:multiLevelType w:val="hybridMultilevel"/>
    <w:tmpl w:val="1A022E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2972A9C"/>
    <w:multiLevelType w:val="hybridMultilevel"/>
    <w:tmpl w:val="C5E69D78"/>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25" w15:restartNumberingAfterBreak="0">
    <w:nsid w:val="536F131E"/>
    <w:multiLevelType w:val="hybridMultilevel"/>
    <w:tmpl w:val="177EBEFA"/>
    <w:lvl w:ilvl="0" w:tplc="24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3BF1A9B"/>
    <w:multiLevelType w:val="hybridMultilevel"/>
    <w:tmpl w:val="BE4A944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80468AE"/>
    <w:multiLevelType w:val="hybridMultilevel"/>
    <w:tmpl w:val="432431F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8" w15:restartNumberingAfterBreak="0">
    <w:nsid w:val="5A9C63F3"/>
    <w:multiLevelType w:val="hybridMultilevel"/>
    <w:tmpl w:val="C144F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9E3D42"/>
    <w:multiLevelType w:val="hybridMultilevel"/>
    <w:tmpl w:val="5600A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5B5038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984FD6"/>
    <w:multiLevelType w:val="hybridMultilevel"/>
    <w:tmpl w:val="308A6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3"/>
  </w:num>
  <w:num w:numId="4">
    <w:abstractNumId w:val="19"/>
  </w:num>
  <w:num w:numId="5">
    <w:abstractNumId w:val="7"/>
  </w:num>
  <w:num w:numId="6">
    <w:abstractNumId w:val="14"/>
  </w:num>
  <w:num w:numId="7">
    <w:abstractNumId w:val="22"/>
  </w:num>
  <w:num w:numId="8">
    <w:abstractNumId w:val="28"/>
  </w:num>
  <w:num w:numId="9">
    <w:abstractNumId w:val="24"/>
  </w:num>
  <w:num w:numId="10">
    <w:abstractNumId w:val="17"/>
  </w:num>
  <w:num w:numId="11">
    <w:abstractNumId w:val="15"/>
  </w:num>
  <w:num w:numId="12">
    <w:abstractNumId w:val="11"/>
  </w:num>
  <w:num w:numId="13">
    <w:abstractNumId w:val="9"/>
  </w:num>
  <w:num w:numId="14">
    <w:abstractNumId w:val="3"/>
  </w:num>
  <w:num w:numId="15">
    <w:abstractNumId w:val="31"/>
  </w:num>
  <w:num w:numId="16">
    <w:abstractNumId w:val="5"/>
  </w:num>
  <w:num w:numId="17">
    <w:abstractNumId w:val="6"/>
  </w:num>
  <w:num w:numId="18">
    <w:abstractNumId w:val="12"/>
  </w:num>
  <w:num w:numId="19">
    <w:abstractNumId w:val="1"/>
  </w:num>
  <w:num w:numId="20">
    <w:abstractNumId w:val="21"/>
  </w:num>
  <w:num w:numId="21">
    <w:abstractNumId w:val="27"/>
  </w:num>
  <w:num w:numId="22">
    <w:abstractNumId w:val="25"/>
  </w:num>
  <w:num w:numId="23">
    <w:abstractNumId w:val="13"/>
  </w:num>
  <w:num w:numId="24">
    <w:abstractNumId w:val="11"/>
  </w:num>
  <w:num w:numId="25">
    <w:abstractNumId w:val="24"/>
  </w:num>
  <w:num w:numId="26">
    <w:abstractNumId w:val="0"/>
  </w:num>
  <w:num w:numId="27">
    <w:abstractNumId w:val="8"/>
  </w:num>
  <w:num w:numId="28">
    <w:abstractNumId w:val="30"/>
  </w:num>
  <w:num w:numId="29">
    <w:abstractNumId w:val="26"/>
  </w:num>
  <w:num w:numId="30">
    <w:abstractNumId w:val="16"/>
  </w:num>
  <w:num w:numId="31">
    <w:abstractNumId w:val="29"/>
  </w:num>
  <w:num w:numId="32">
    <w:abstractNumId w:val="18"/>
  </w:num>
  <w:num w:numId="33">
    <w:abstractNumId w:val="10"/>
  </w:num>
  <w:num w:numId="3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24"/>
    <w:rsid w:val="00000478"/>
    <w:rsid w:val="0000144B"/>
    <w:rsid w:val="00002B12"/>
    <w:rsid w:val="00004FC4"/>
    <w:rsid w:val="000064C7"/>
    <w:rsid w:val="00006B91"/>
    <w:rsid w:val="0001062B"/>
    <w:rsid w:val="00010A64"/>
    <w:rsid w:val="00010EE0"/>
    <w:rsid w:val="00012201"/>
    <w:rsid w:val="0001351F"/>
    <w:rsid w:val="00015E0A"/>
    <w:rsid w:val="000170C8"/>
    <w:rsid w:val="00017A1F"/>
    <w:rsid w:val="00020516"/>
    <w:rsid w:val="00021192"/>
    <w:rsid w:val="00021CF4"/>
    <w:rsid w:val="00022637"/>
    <w:rsid w:val="00022668"/>
    <w:rsid w:val="000244B9"/>
    <w:rsid w:val="000248CE"/>
    <w:rsid w:val="00025318"/>
    <w:rsid w:val="00027378"/>
    <w:rsid w:val="00032ABA"/>
    <w:rsid w:val="00032ABD"/>
    <w:rsid w:val="000333DC"/>
    <w:rsid w:val="00033535"/>
    <w:rsid w:val="00033B21"/>
    <w:rsid w:val="00034B80"/>
    <w:rsid w:val="0004010B"/>
    <w:rsid w:val="00041234"/>
    <w:rsid w:val="00041CFE"/>
    <w:rsid w:val="00042A2F"/>
    <w:rsid w:val="00042B31"/>
    <w:rsid w:val="00044217"/>
    <w:rsid w:val="00044A3D"/>
    <w:rsid w:val="000450A6"/>
    <w:rsid w:val="000460AA"/>
    <w:rsid w:val="00046BD6"/>
    <w:rsid w:val="00046EA0"/>
    <w:rsid w:val="000501E3"/>
    <w:rsid w:val="00051848"/>
    <w:rsid w:val="000518EE"/>
    <w:rsid w:val="00052B5E"/>
    <w:rsid w:val="00052DAA"/>
    <w:rsid w:val="000530AE"/>
    <w:rsid w:val="00053B3C"/>
    <w:rsid w:val="00053C8A"/>
    <w:rsid w:val="000546AE"/>
    <w:rsid w:val="00054A50"/>
    <w:rsid w:val="000553FE"/>
    <w:rsid w:val="0005596A"/>
    <w:rsid w:val="00055C6E"/>
    <w:rsid w:val="00061454"/>
    <w:rsid w:val="000617C9"/>
    <w:rsid w:val="00067543"/>
    <w:rsid w:val="0006779B"/>
    <w:rsid w:val="00071848"/>
    <w:rsid w:val="00072F3B"/>
    <w:rsid w:val="00074F5C"/>
    <w:rsid w:val="000750B5"/>
    <w:rsid w:val="0008051D"/>
    <w:rsid w:val="000810C3"/>
    <w:rsid w:val="000826EE"/>
    <w:rsid w:val="000848CA"/>
    <w:rsid w:val="0008516B"/>
    <w:rsid w:val="00085B93"/>
    <w:rsid w:val="00086215"/>
    <w:rsid w:val="00090745"/>
    <w:rsid w:val="0009256E"/>
    <w:rsid w:val="000931D6"/>
    <w:rsid w:val="00093648"/>
    <w:rsid w:val="00094FC1"/>
    <w:rsid w:val="000959C6"/>
    <w:rsid w:val="000A2D7C"/>
    <w:rsid w:val="000A38BE"/>
    <w:rsid w:val="000A766A"/>
    <w:rsid w:val="000B051A"/>
    <w:rsid w:val="000B1339"/>
    <w:rsid w:val="000B19FD"/>
    <w:rsid w:val="000B43AE"/>
    <w:rsid w:val="000B5BB9"/>
    <w:rsid w:val="000B5CD8"/>
    <w:rsid w:val="000B7247"/>
    <w:rsid w:val="000B7449"/>
    <w:rsid w:val="000C04A7"/>
    <w:rsid w:val="000C0A4D"/>
    <w:rsid w:val="000C431F"/>
    <w:rsid w:val="000C4450"/>
    <w:rsid w:val="000C58DC"/>
    <w:rsid w:val="000C7EF8"/>
    <w:rsid w:val="000D1913"/>
    <w:rsid w:val="000D2893"/>
    <w:rsid w:val="000D3F9C"/>
    <w:rsid w:val="000D5178"/>
    <w:rsid w:val="000D6C0E"/>
    <w:rsid w:val="000E0B97"/>
    <w:rsid w:val="000E10A0"/>
    <w:rsid w:val="000E10D2"/>
    <w:rsid w:val="000E10E9"/>
    <w:rsid w:val="000E1440"/>
    <w:rsid w:val="000E1822"/>
    <w:rsid w:val="000E3076"/>
    <w:rsid w:val="000E3E2B"/>
    <w:rsid w:val="000F1607"/>
    <w:rsid w:val="000F1D26"/>
    <w:rsid w:val="000F200C"/>
    <w:rsid w:val="000F308F"/>
    <w:rsid w:val="000F3516"/>
    <w:rsid w:val="000F3BC7"/>
    <w:rsid w:val="000F7188"/>
    <w:rsid w:val="000F7D5A"/>
    <w:rsid w:val="001037D3"/>
    <w:rsid w:val="0010442F"/>
    <w:rsid w:val="001055C4"/>
    <w:rsid w:val="00107428"/>
    <w:rsid w:val="001103EB"/>
    <w:rsid w:val="001107B0"/>
    <w:rsid w:val="00113CB3"/>
    <w:rsid w:val="00113DEF"/>
    <w:rsid w:val="001146B9"/>
    <w:rsid w:val="001148C8"/>
    <w:rsid w:val="00115184"/>
    <w:rsid w:val="00115617"/>
    <w:rsid w:val="001209D0"/>
    <w:rsid w:val="00124329"/>
    <w:rsid w:val="00126B97"/>
    <w:rsid w:val="00130700"/>
    <w:rsid w:val="0013146A"/>
    <w:rsid w:val="00131A0C"/>
    <w:rsid w:val="00131C30"/>
    <w:rsid w:val="00132734"/>
    <w:rsid w:val="00132A30"/>
    <w:rsid w:val="00134476"/>
    <w:rsid w:val="0013664E"/>
    <w:rsid w:val="00141EEC"/>
    <w:rsid w:val="00142199"/>
    <w:rsid w:val="00142BC8"/>
    <w:rsid w:val="00142F28"/>
    <w:rsid w:val="0014351F"/>
    <w:rsid w:val="00144FF3"/>
    <w:rsid w:val="00145534"/>
    <w:rsid w:val="00150C4B"/>
    <w:rsid w:val="001519EC"/>
    <w:rsid w:val="001519F7"/>
    <w:rsid w:val="0015211C"/>
    <w:rsid w:val="00153210"/>
    <w:rsid w:val="001537AA"/>
    <w:rsid w:val="001539B0"/>
    <w:rsid w:val="0015475E"/>
    <w:rsid w:val="0015484C"/>
    <w:rsid w:val="00155531"/>
    <w:rsid w:val="00156456"/>
    <w:rsid w:val="00156C28"/>
    <w:rsid w:val="00157A5D"/>
    <w:rsid w:val="001613DD"/>
    <w:rsid w:val="00162809"/>
    <w:rsid w:val="001648FE"/>
    <w:rsid w:val="0016491F"/>
    <w:rsid w:val="0016687B"/>
    <w:rsid w:val="00166FAC"/>
    <w:rsid w:val="00167369"/>
    <w:rsid w:val="001701BF"/>
    <w:rsid w:val="00170919"/>
    <w:rsid w:val="00171128"/>
    <w:rsid w:val="001751CA"/>
    <w:rsid w:val="00175B87"/>
    <w:rsid w:val="001778EE"/>
    <w:rsid w:val="00177AAD"/>
    <w:rsid w:val="00177EEA"/>
    <w:rsid w:val="001816B1"/>
    <w:rsid w:val="00187A1D"/>
    <w:rsid w:val="00190432"/>
    <w:rsid w:val="00191E56"/>
    <w:rsid w:val="00191F9D"/>
    <w:rsid w:val="00192B2E"/>
    <w:rsid w:val="00192FE9"/>
    <w:rsid w:val="00193BD9"/>
    <w:rsid w:val="00195C2A"/>
    <w:rsid w:val="001962FC"/>
    <w:rsid w:val="0019673B"/>
    <w:rsid w:val="00197A7F"/>
    <w:rsid w:val="001A01A5"/>
    <w:rsid w:val="001A050A"/>
    <w:rsid w:val="001A0C80"/>
    <w:rsid w:val="001A66F7"/>
    <w:rsid w:val="001A7175"/>
    <w:rsid w:val="001A7E0E"/>
    <w:rsid w:val="001B2311"/>
    <w:rsid w:val="001B3530"/>
    <w:rsid w:val="001B583D"/>
    <w:rsid w:val="001B6504"/>
    <w:rsid w:val="001B697E"/>
    <w:rsid w:val="001B6FC9"/>
    <w:rsid w:val="001B701F"/>
    <w:rsid w:val="001C164F"/>
    <w:rsid w:val="001C1A55"/>
    <w:rsid w:val="001C1E9F"/>
    <w:rsid w:val="001C23F9"/>
    <w:rsid w:val="001C3AAA"/>
    <w:rsid w:val="001C569F"/>
    <w:rsid w:val="001D0556"/>
    <w:rsid w:val="001D0D1C"/>
    <w:rsid w:val="001D16C9"/>
    <w:rsid w:val="001D20F5"/>
    <w:rsid w:val="001D2902"/>
    <w:rsid w:val="001D2D88"/>
    <w:rsid w:val="001E0167"/>
    <w:rsid w:val="001E0954"/>
    <w:rsid w:val="001E1706"/>
    <w:rsid w:val="001E32C2"/>
    <w:rsid w:val="001E3885"/>
    <w:rsid w:val="001E3D85"/>
    <w:rsid w:val="001E41D2"/>
    <w:rsid w:val="001E4396"/>
    <w:rsid w:val="001E491D"/>
    <w:rsid w:val="001E71DF"/>
    <w:rsid w:val="001F1400"/>
    <w:rsid w:val="001F199A"/>
    <w:rsid w:val="001F21AE"/>
    <w:rsid w:val="001F2C59"/>
    <w:rsid w:val="001F42A6"/>
    <w:rsid w:val="001F5326"/>
    <w:rsid w:val="001F74DD"/>
    <w:rsid w:val="001F7817"/>
    <w:rsid w:val="00200AE0"/>
    <w:rsid w:val="0020231F"/>
    <w:rsid w:val="00202652"/>
    <w:rsid w:val="00203740"/>
    <w:rsid w:val="00204927"/>
    <w:rsid w:val="00205E60"/>
    <w:rsid w:val="0020649E"/>
    <w:rsid w:val="00207EBF"/>
    <w:rsid w:val="00211022"/>
    <w:rsid w:val="00211C87"/>
    <w:rsid w:val="00212445"/>
    <w:rsid w:val="00212BA9"/>
    <w:rsid w:val="00213DA8"/>
    <w:rsid w:val="00214312"/>
    <w:rsid w:val="00214D01"/>
    <w:rsid w:val="00215815"/>
    <w:rsid w:val="00216A0E"/>
    <w:rsid w:val="0022018F"/>
    <w:rsid w:val="00227031"/>
    <w:rsid w:val="00227630"/>
    <w:rsid w:val="002276C3"/>
    <w:rsid w:val="00227A85"/>
    <w:rsid w:val="002300E3"/>
    <w:rsid w:val="0023039C"/>
    <w:rsid w:val="0023068B"/>
    <w:rsid w:val="00230FCD"/>
    <w:rsid w:val="00231E77"/>
    <w:rsid w:val="00231EBC"/>
    <w:rsid w:val="00232D3F"/>
    <w:rsid w:val="00234A76"/>
    <w:rsid w:val="00234A83"/>
    <w:rsid w:val="00234EC5"/>
    <w:rsid w:val="00236B6D"/>
    <w:rsid w:val="002376CC"/>
    <w:rsid w:val="0023786D"/>
    <w:rsid w:val="00241862"/>
    <w:rsid w:val="00247B44"/>
    <w:rsid w:val="0025000C"/>
    <w:rsid w:val="0025023C"/>
    <w:rsid w:val="0025050A"/>
    <w:rsid w:val="0025218A"/>
    <w:rsid w:val="00255BBE"/>
    <w:rsid w:val="00256DD6"/>
    <w:rsid w:val="00257205"/>
    <w:rsid w:val="00257CF1"/>
    <w:rsid w:val="00261160"/>
    <w:rsid w:val="00262701"/>
    <w:rsid w:val="002635CB"/>
    <w:rsid w:val="00264913"/>
    <w:rsid w:val="00264BFB"/>
    <w:rsid w:val="0026610A"/>
    <w:rsid w:val="002665A1"/>
    <w:rsid w:val="00271329"/>
    <w:rsid w:val="00271FCC"/>
    <w:rsid w:val="0027667C"/>
    <w:rsid w:val="002770A5"/>
    <w:rsid w:val="00277CA4"/>
    <w:rsid w:val="0028066F"/>
    <w:rsid w:val="00280B18"/>
    <w:rsid w:val="002811FC"/>
    <w:rsid w:val="00283ED0"/>
    <w:rsid w:val="00285459"/>
    <w:rsid w:val="002854DD"/>
    <w:rsid w:val="00286A5E"/>
    <w:rsid w:val="002916AE"/>
    <w:rsid w:val="00292B2D"/>
    <w:rsid w:val="00295437"/>
    <w:rsid w:val="00295777"/>
    <w:rsid w:val="00297F97"/>
    <w:rsid w:val="002A0A45"/>
    <w:rsid w:val="002A0DE9"/>
    <w:rsid w:val="002A1D73"/>
    <w:rsid w:val="002A23B8"/>
    <w:rsid w:val="002A2CF5"/>
    <w:rsid w:val="002A34C1"/>
    <w:rsid w:val="002A4C3B"/>
    <w:rsid w:val="002A557C"/>
    <w:rsid w:val="002A56A6"/>
    <w:rsid w:val="002A5E92"/>
    <w:rsid w:val="002A7618"/>
    <w:rsid w:val="002A762D"/>
    <w:rsid w:val="002A79E8"/>
    <w:rsid w:val="002B0710"/>
    <w:rsid w:val="002B0D1A"/>
    <w:rsid w:val="002B127E"/>
    <w:rsid w:val="002B1F6C"/>
    <w:rsid w:val="002B1FDF"/>
    <w:rsid w:val="002B3131"/>
    <w:rsid w:val="002B4B4F"/>
    <w:rsid w:val="002B5BB8"/>
    <w:rsid w:val="002B5C3B"/>
    <w:rsid w:val="002B694E"/>
    <w:rsid w:val="002C08CE"/>
    <w:rsid w:val="002C108C"/>
    <w:rsid w:val="002C23DE"/>
    <w:rsid w:val="002C2C70"/>
    <w:rsid w:val="002C2D18"/>
    <w:rsid w:val="002C2DB0"/>
    <w:rsid w:val="002C35B1"/>
    <w:rsid w:val="002C4908"/>
    <w:rsid w:val="002C5673"/>
    <w:rsid w:val="002D1635"/>
    <w:rsid w:val="002D4B1F"/>
    <w:rsid w:val="002D52F7"/>
    <w:rsid w:val="002D53C6"/>
    <w:rsid w:val="002D6BA2"/>
    <w:rsid w:val="002D74DC"/>
    <w:rsid w:val="002D7D4E"/>
    <w:rsid w:val="002E0775"/>
    <w:rsid w:val="002E180E"/>
    <w:rsid w:val="002E221D"/>
    <w:rsid w:val="002E3ED8"/>
    <w:rsid w:val="002E4735"/>
    <w:rsid w:val="002E527B"/>
    <w:rsid w:val="002E5355"/>
    <w:rsid w:val="002E5C59"/>
    <w:rsid w:val="002E7B21"/>
    <w:rsid w:val="002F0E12"/>
    <w:rsid w:val="002F17D6"/>
    <w:rsid w:val="002F45E0"/>
    <w:rsid w:val="002F4FAF"/>
    <w:rsid w:val="002F6B81"/>
    <w:rsid w:val="002F7044"/>
    <w:rsid w:val="002F7D1B"/>
    <w:rsid w:val="003006CB"/>
    <w:rsid w:val="0030101A"/>
    <w:rsid w:val="0030135B"/>
    <w:rsid w:val="00303601"/>
    <w:rsid w:val="00303B49"/>
    <w:rsid w:val="003049D8"/>
    <w:rsid w:val="00305360"/>
    <w:rsid w:val="00305BA1"/>
    <w:rsid w:val="003070D8"/>
    <w:rsid w:val="00314685"/>
    <w:rsid w:val="003151AF"/>
    <w:rsid w:val="0031590D"/>
    <w:rsid w:val="003159CA"/>
    <w:rsid w:val="00316610"/>
    <w:rsid w:val="00316FA3"/>
    <w:rsid w:val="0031723A"/>
    <w:rsid w:val="003176C3"/>
    <w:rsid w:val="00322920"/>
    <w:rsid w:val="00322FF3"/>
    <w:rsid w:val="00323684"/>
    <w:rsid w:val="0032575D"/>
    <w:rsid w:val="003260B8"/>
    <w:rsid w:val="00327877"/>
    <w:rsid w:val="00331F52"/>
    <w:rsid w:val="00332764"/>
    <w:rsid w:val="003327EE"/>
    <w:rsid w:val="00332DFB"/>
    <w:rsid w:val="00334CCE"/>
    <w:rsid w:val="00334F28"/>
    <w:rsid w:val="00335B2E"/>
    <w:rsid w:val="0033750A"/>
    <w:rsid w:val="00340CA7"/>
    <w:rsid w:val="00340FB4"/>
    <w:rsid w:val="00341C02"/>
    <w:rsid w:val="003427A8"/>
    <w:rsid w:val="0034282E"/>
    <w:rsid w:val="00342EBA"/>
    <w:rsid w:val="003448AE"/>
    <w:rsid w:val="00344AA0"/>
    <w:rsid w:val="003454EA"/>
    <w:rsid w:val="00346105"/>
    <w:rsid w:val="003471C1"/>
    <w:rsid w:val="0034794B"/>
    <w:rsid w:val="00350DFE"/>
    <w:rsid w:val="00351A5B"/>
    <w:rsid w:val="00352685"/>
    <w:rsid w:val="00353806"/>
    <w:rsid w:val="00356084"/>
    <w:rsid w:val="00361FA0"/>
    <w:rsid w:val="003625B3"/>
    <w:rsid w:val="003626E1"/>
    <w:rsid w:val="00362FB6"/>
    <w:rsid w:val="003633EB"/>
    <w:rsid w:val="003635D8"/>
    <w:rsid w:val="00363EBC"/>
    <w:rsid w:val="00364426"/>
    <w:rsid w:val="0037034F"/>
    <w:rsid w:val="00371ABB"/>
    <w:rsid w:val="0038162F"/>
    <w:rsid w:val="003817C7"/>
    <w:rsid w:val="00383695"/>
    <w:rsid w:val="003864D9"/>
    <w:rsid w:val="00386D50"/>
    <w:rsid w:val="00387A67"/>
    <w:rsid w:val="00387B41"/>
    <w:rsid w:val="00390EA4"/>
    <w:rsid w:val="00391B16"/>
    <w:rsid w:val="00392538"/>
    <w:rsid w:val="003944F4"/>
    <w:rsid w:val="003957B5"/>
    <w:rsid w:val="003963C7"/>
    <w:rsid w:val="00396A26"/>
    <w:rsid w:val="003A37EE"/>
    <w:rsid w:val="003A3DB2"/>
    <w:rsid w:val="003A4746"/>
    <w:rsid w:val="003A4DC3"/>
    <w:rsid w:val="003A5025"/>
    <w:rsid w:val="003A7D83"/>
    <w:rsid w:val="003B02D1"/>
    <w:rsid w:val="003B0FB3"/>
    <w:rsid w:val="003B18A7"/>
    <w:rsid w:val="003B307E"/>
    <w:rsid w:val="003B3D38"/>
    <w:rsid w:val="003B4690"/>
    <w:rsid w:val="003B495C"/>
    <w:rsid w:val="003B4DC0"/>
    <w:rsid w:val="003B520E"/>
    <w:rsid w:val="003B5276"/>
    <w:rsid w:val="003B60A3"/>
    <w:rsid w:val="003B6390"/>
    <w:rsid w:val="003B682D"/>
    <w:rsid w:val="003C02B1"/>
    <w:rsid w:val="003C08DC"/>
    <w:rsid w:val="003C3139"/>
    <w:rsid w:val="003C3961"/>
    <w:rsid w:val="003C3C23"/>
    <w:rsid w:val="003C3E24"/>
    <w:rsid w:val="003C4BFA"/>
    <w:rsid w:val="003C527B"/>
    <w:rsid w:val="003D07DB"/>
    <w:rsid w:val="003D30A6"/>
    <w:rsid w:val="003D3317"/>
    <w:rsid w:val="003D334E"/>
    <w:rsid w:val="003D4DF0"/>
    <w:rsid w:val="003D5F51"/>
    <w:rsid w:val="003D6714"/>
    <w:rsid w:val="003D7501"/>
    <w:rsid w:val="003D7519"/>
    <w:rsid w:val="003E003F"/>
    <w:rsid w:val="003E140C"/>
    <w:rsid w:val="003E2D04"/>
    <w:rsid w:val="003E30BA"/>
    <w:rsid w:val="003E4ACE"/>
    <w:rsid w:val="003E6258"/>
    <w:rsid w:val="003E6501"/>
    <w:rsid w:val="003E729F"/>
    <w:rsid w:val="003F03CE"/>
    <w:rsid w:val="003F15F5"/>
    <w:rsid w:val="003F198B"/>
    <w:rsid w:val="003F1B0E"/>
    <w:rsid w:val="003F3529"/>
    <w:rsid w:val="003F4D82"/>
    <w:rsid w:val="003F505D"/>
    <w:rsid w:val="003F72EC"/>
    <w:rsid w:val="003F7F9F"/>
    <w:rsid w:val="004027D7"/>
    <w:rsid w:val="00406319"/>
    <w:rsid w:val="00406F92"/>
    <w:rsid w:val="00410E3E"/>
    <w:rsid w:val="00411DB6"/>
    <w:rsid w:val="004127B7"/>
    <w:rsid w:val="00420E88"/>
    <w:rsid w:val="00423247"/>
    <w:rsid w:val="00423462"/>
    <w:rsid w:val="004255F2"/>
    <w:rsid w:val="004267AD"/>
    <w:rsid w:val="0042719D"/>
    <w:rsid w:val="00430614"/>
    <w:rsid w:val="004309B7"/>
    <w:rsid w:val="004327F4"/>
    <w:rsid w:val="00434793"/>
    <w:rsid w:val="004360E4"/>
    <w:rsid w:val="00436886"/>
    <w:rsid w:val="00436C29"/>
    <w:rsid w:val="00436DD2"/>
    <w:rsid w:val="004377D3"/>
    <w:rsid w:val="004379B1"/>
    <w:rsid w:val="00441891"/>
    <w:rsid w:val="0044275C"/>
    <w:rsid w:val="00443A7B"/>
    <w:rsid w:val="00443E77"/>
    <w:rsid w:val="00444010"/>
    <w:rsid w:val="00444133"/>
    <w:rsid w:val="00444206"/>
    <w:rsid w:val="00444CB8"/>
    <w:rsid w:val="00446707"/>
    <w:rsid w:val="0044716C"/>
    <w:rsid w:val="004502D0"/>
    <w:rsid w:val="00450420"/>
    <w:rsid w:val="004512A1"/>
    <w:rsid w:val="00453BCD"/>
    <w:rsid w:val="0045646B"/>
    <w:rsid w:val="004601DA"/>
    <w:rsid w:val="00460322"/>
    <w:rsid w:val="004605BD"/>
    <w:rsid w:val="00461179"/>
    <w:rsid w:val="0046325B"/>
    <w:rsid w:val="00463AB3"/>
    <w:rsid w:val="00463B23"/>
    <w:rsid w:val="00464DA5"/>
    <w:rsid w:val="00464DC2"/>
    <w:rsid w:val="004666AA"/>
    <w:rsid w:val="00466869"/>
    <w:rsid w:val="004674E3"/>
    <w:rsid w:val="00467960"/>
    <w:rsid w:val="00472381"/>
    <w:rsid w:val="004725B7"/>
    <w:rsid w:val="00474CD3"/>
    <w:rsid w:val="004762BE"/>
    <w:rsid w:val="004768A0"/>
    <w:rsid w:val="00480087"/>
    <w:rsid w:val="00481403"/>
    <w:rsid w:val="00481A98"/>
    <w:rsid w:val="0048215D"/>
    <w:rsid w:val="004823F8"/>
    <w:rsid w:val="004840E2"/>
    <w:rsid w:val="00484493"/>
    <w:rsid w:val="00487D7F"/>
    <w:rsid w:val="00490B34"/>
    <w:rsid w:val="00491579"/>
    <w:rsid w:val="00492726"/>
    <w:rsid w:val="00493364"/>
    <w:rsid w:val="00494AD0"/>
    <w:rsid w:val="004A00F5"/>
    <w:rsid w:val="004A515C"/>
    <w:rsid w:val="004A6E10"/>
    <w:rsid w:val="004B0A48"/>
    <w:rsid w:val="004B3B3E"/>
    <w:rsid w:val="004B4AEB"/>
    <w:rsid w:val="004C0795"/>
    <w:rsid w:val="004C3079"/>
    <w:rsid w:val="004C4ECB"/>
    <w:rsid w:val="004C529E"/>
    <w:rsid w:val="004C5519"/>
    <w:rsid w:val="004C68E3"/>
    <w:rsid w:val="004C6CE8"/>
    <w:rsid w:val="004C6E5A"/>
    <w:rsid w:val="004D11D9"/>
    <w:rsid w:val="004D176A"/>
    <w:rsid w:val="004D1DA4"/>
    <w:rsid w:val="004D302C"/>
    <w:rsid w:val="004D6379"/>
    <w:rsid w:val="004D7BDF"/>
    <w:rsid w:val="004E0020"/>
    <w:rsid w:val="004E1621"/>
    <w:rsid w:val="004E1B93"/>
    <w:rsid w:val="004E1F09"/>
    <w:rsid w:val="004E57B4"/>
    <w:rsid w:val="004E6696"/>
    <w:rsid w:val="004E678E"/>
    <w:rsid w:val="004E71DC"/>
    <w:rsid w:val="004E7BA7"/>
    <w:rsid w:val="004F05DC"/>
    <w:rsid w:val="004F0C68"/>
    <w:rsid w:val="004F167C"/>
    <w:rsid w:val="004F210B"/>
    <w:rsid w:val="004F2325"/>
    <w:rsid w:val="004F2EFD"/>
    <w:rsid w:val="004F4061"/>
    <w:rsid w:val="004F4EE7"/>
    <w:rsid w:val="004F657A"/>
    <w:rsid w:val="00501D75"/>
    <w:rsid w:val="00504480"/>
    <w:rsid w:val="00506C44"/>
    <w:rsid w:val="00506C6E"/>
    <w:rsid w:val="005075B9"/>
    <w:rsid w:val="00507D9A"/>
    <w:rsid w:val="00510F88"/>
    <w:rsid w:val="00512BF0"/>
    <w:rsid w:val="00515F29"/>
    <w:rsid w:val="00517879"/>
    <w:rsid w:val="0052016D"/>
    <w:rsid w:val="005203A2"/>
    <w:rsid w:val="00520462"/>
    <w:rsid w:val="00520E0E"/>
    <w:rsid w:val="00521652"/>
    <w:rsid w:val="00523120"/>
    <w:rsid w:val="005237D3"/>
    <w:rsid w:val="00530926"/>
    <w:rsid w:val="00530C06"/>
    <w:rsid w:val="0053409B"/>
    <w:rsid w:val="005346CA"/>
    <w:rsid w:val="00534FF5"/>
    <w:rsid w:val="005364EE"/>
    <w:rsid w:val="00537749"/>
    <w:rsid w:val="005377D3"/>
    <w:rsid w:val="0054020B"/>
    <w:rsid w:val="00540C96"/>
    <w:rsid w:val="00543860"/>
    <w:rsid w:val="00543DE9"/>
    <w:rsid w:val="005445E3"/>
    <w:rsid w:val="00547438"/>
    <w:rsid w:val="0055372A"/>
    <w:rsid w:val="00554C50"/>
    <w:rsid w:val="00555903"/>
    <w:rsid w:val="00557638"/>
    <w:rsid w:val="005604BE"/>
    <w:rsid w:val="00561035"/>
    <w:rsid w:val="00562742"/>
    <w:rsid w:val="00562BC1"/>
    <w:rsid w:val="005642E4"/>
    <w:rsid w:val="005655EE"/>
    <w:rsid w:val="00565B35"/>
    <w:rsid w:val="00570553"/>
    <w:rsid w:val="0057246D"/>
    <w:rsid w:val="0057442E"/>
    <w:rsid w:val="00575545"/>
    <w:rsid w:val="0057795B"/>
    <w:rsid w:val="005816C3"/>
    <w:rsid w:val="005847A5"/>
    <w:rsid w:val="00585D01"/>
    <w:rsid w:val="00586413"/>
    <w:rsid w:val="00587D8B"/>
    <w:rsid w:val="0059115D"/>
    <w:rsid w:val="0059512D"/>
    <w:rsid w:val="005961C0"/>
    <w:rsid w:val="005962F7"/>
    <w:rsid w:val="005A05FE"/>
    <w:rsid w:val="005A08D4"/>
    <w:rsid w:val="005A4578"/>
    <w:rsid w:val="005A5A59"/>
    <w:rsid w:val="005A65E8"/>
    <w:rsid w:val="005A7122"/>
    <w:rsid w:val="005B05B4"/>
    <w:rsid w:val="005B2924"/>
    <w:rsid w:val="005B4FD7"/>
    <w:rsid w:val="005B539A"/>
    <w:rsid w:val="005C2792"/>
    <w:rsid w:val="005C3A0D"/>
    <w:rsid w:val="005C3B8B"/>
    <w:rsid w:val="005C42C1"/>
    <w:rsid w:val="005C5E0B"/>
    <w:rsid w:val="005C6C25"/>
    <w:rsid w:val="005D135C"/>
    <w:rsid w:val="005D3B13"/>
    <w:rsid w:val="005D45CC"/>
    <w:rsid w:val="005E07CD"/>
    <w:rsid w:val="005E0AA8"/>
    <w:rsid w:val="005E16DB"/>
    <w:rsid w:val="005E4257"/>
    <w:rsid w:val="005E4A7D"/>
    <w:rsid w:val="005E5779"/>
    <w:rsid w:val="005E6EDB"/>
    <w:rsid w:val="005E7539"/>
    <w:rsid w:val="005E796F"/>
    <w:rsid w:val="005F0128"/>
    <w:rsid w:val="005F09F3"/>
    <w:rsid w:val="005F1EF8"/>
    <w:rsid w:val="005F2EBF"/>
    <w:rsid w:val="005F3775"/>
    <w:rsid w:val="005F49FB"/>
    <w:rsid w:val="005F53A3"/>
    <w:rsid w:val="0060001E"/>
    <w:rsid w:val="00600852"/>
    <w:rsid w:val="00600873"/>
    <w:rsid w:val="006011EB"/>
    <w:rsid w:val="0060228C"/>
    <w:rsid w:val="006027DC"/>
    <w:rsid w:val="00602BD3"/>
    <w:rsid w:val="00602E56"/>
    <w:rsid w:val="0060315B"/>
    <w:rsid w:val="00603293"/>
    <w:rsid w:val="006039BD"/>
    <w:rsid w:val="00603ADF"/>
    <w:rsid w:val="00604106"/>
    <w:rsid w:val="00604D6D"/>
    <w:rsid w:val="0060529E"/>
    <w:rsid w:val="00606A32"/>
    <w:rsid w:val="00606CBF"/>
    <w:rsid w:val="00612019"/>
    <w:rsid w:val="00612AE2"/>
    <w:rsid w:val="00613095"/>
    <w:rsid w:val="00613A3A"/>
    <w:rsid w:val="00613F26"/>
    <w:rsid w:val="0061444A"/>
    <w:rsid w:val="006147E6"/>
    <w:rsid w:val="006164AE"/>
    <w:rsid w:val="006216FE"/>
    <w:rsid w:val="006218A2"/>
    <w:rsid w:val="0062426C"/>
    <w:rsid w:val="006244C2"/>
    <w:rsid w:val="00627299"/>
    <w:rsid w:val="006274A3"/>
    <w:rsid w:val="00632331"/>
    <w:rsid w:val="00637968"/>
    <w:rsid w:val="00643102"/>
    <w:rsid w:val="0064338B"/>
    <w:rsid w:val="006452EC"/>
    <w:rsid w:val="00645BE2"/>
    <w:rsid w:val="00645D67"/>
    <w:rsid w:val="00650C54"/>
    <w:rsid w:val="006515A9"/>
    <w:rsid w:val="00652634"/>
    <w:rsid w:val="00652EE7"/>
    <w:rsid w:val="00652EF6"/>
    <w:rsid w:val="00653AB4"/>
    <w:rsid w:val="006559CF"/>
    <w:rsid w:val="006564B1"/>
    <w:rsid w:val="00656B98"/>
    <w:rsid w:val="0065782D"/>
    <w:rsid w:val="00657C6B"/>
    <w:rsid w:val="0066131D"/>
    <w:rsid w:val="00661754"/>
    <w:rsid w:val="006626FF"/>
    <w:rsid w:val="0066536D"/>
    <w:rsid w:val="00665A01"/>
    <w:rsid w:val="006660C3"/>
    <w:rsid w:val="00666440"/>
    <w:rsid w:val="006672E3"/>
    <w:rsid w:val="006704E0"/>
    <w:rsid w:val="0067067D"/>
    <w:rsid w:val="006718AB"/>
    <w:rsid w:val="00671F4C"/>
    <w:rsid w:val="00672A23"/>
    <w:rsid w:val="00672BBC"/>
    <w:rsid w:val="006734E3"/>
    <w:rsid w:val="0067351C"/>
    <w:rsid w:val="0067458D"/>
    <w:rsid w:val="00675961"/>
    <w:rsid w:val="00676F1E"/>
    <w:rsid w:val="00677502"/>
    <w:rsid w:val="00677A99"/>
    <w:rsid w:val="0068124F"/>
    <w:rsid w:val="00681624"/>
    <w:rsid w:val="00681B9F"/>
    <w:rsid w:val="0068270C"/>
    <w:rsid w:val="0068461A"/>
    <w:rsid w:val="0068551C"/>
    <w:rsid w:val="00685FC2"/>
    <w:rsid w:val="00686DB0"/>
    <w:rsid w:val="00687116"/>
    <w:rsid w:val="006904C1"/>
    <w:rsid w:val="006904CA"/>
    <w:rsid w:val="0069112E"/>
    <w:rsid w:val="006923A9"/>
    <w:rsid w:val="00695289"/>
    <w:rsid w:val="006A1A23"/>
    <w:rsid w:val="006A1D97"/>
    <w:rsid w:val="006A3FA5"/>
    <w:rsid w:val="006A4E62"/>
    <w:rsid w:val="006A551E"/>
    <w:rsid w:val="006A6DB5"/>
    <w:rsid w:val="006B0585"/>
    <w:rsid w:val="006B0D2D"/>
    <w:rsid w:val="006B19E1"/>
    <w:rsid w:val="006B276E"/>
    <w:rsid w:val="006B5E1A"/>
    <w:rsid w:val="006B6C78"/>
    <w:rsid w:val="006B782A"/>
    <w:rsid w:val="006B7CE6"/>
    <w:rsid w:val="006B7D0D"/>
    <w:rsid w:val="006C0A91"/>
    <w:rsid w:val="006C19D7"/>
    <w:rsid w:val="006C1B4D"/>
    <w:rsid w:val="006C29B9"/>
    <w:rsid w:val="006C3A84"/>
    <w:rsid w:val="006C51F5"/>
    <w:rsid w:val="006C59F0"/>
    <w:rsid w:val="006C611D"/>
    <w:rsid w:val="006D1F17"/>
    <w:rsid w:val="006D26A6"/>
    <w:rsid w:val="006D5BD9"/>
    <w:rsid w:val="006D7EE3"/>
    <w:rsid w:val="006E0269"/>
    <w:rsid w:val="006E1B7C"/>
    <w:rsid w:val="006E4FAA"/>
    <w:rsid w:val="006E6FB9"/>
    <w:rsid w:val="006F1316"/>
    <w:rsid w:val="006F3091"/>
    <w:rsid w:val="006F38B6"/>
    <w:rsid w:val="006F3AC0"/>
    <w:rsid w:val="006F4255"/>
    <w:rsid w:val="006F6E8A"/>
    <w:rsid w:val="006F6F3A"/>
    <w:rsid w:val="007002B2"/>
    <w:rsid w:val="00701FBE"/>
    <w:rsid w:val="0070280A"/>
    <w:rsid w:val="00702839"/>
    <w:rsid w:val="0070563D"/>
    <w:rsid w:val="00706A55"/>
    <w:rsid w:val="00706DA3"/>
    <w:rsid w:val="00711A9E"/>
    <w:rsid w:val="007126F9"/>
    <w:rsid w:val="00712F51"/>
    <w:rsid w:val="00714D12"/>
    <w:rsid w:val="00715E4A"/>
    <w:rsid w:val="00717530"/>
    <w:rsid w:val="00717AC2"/>
    <w:rsid w:val="00721133"/>
    <w:rsid w:val="00721154"/>
    <w:rsid w:val="00721237"/>
    <w:rsid w:val="0072152F"/>
    <w:rsid w:val="00722897"/>
    <w:rsid w:val="0072433E"/>
    <w:rsid w:val="00724A1C"/>
    <w:rsid w:val="00724F99"/>
    <w:rsid w:val="00725CD2"/>
    <w:rsid w:val="00726884"/>
    <w:rsid w:val="00726E40"/>
    <w:rsid w:val="007276A9"/>
    <w:rsid w:val="0073448D"/>
    <w:rsid w:val="007359E2"/>
    <w:rsid w:val="00736DF0"/>
    <w:rsid w:val="00737E9C"/>
    <w:rsid w:val="00737FF9"/>
    <w:rsid w:val="00740583"/>
    <w:rsid w:val="00740E4B"/>
    <w:rsid w:val="00741092"/>
    <w:rsid w:val="007427C8"/>
    <w:rsid w:val="0074282C"/>
    <w:rsid w:val="007429FB"/>
    <w:rsid w:val="00750829"/>
    <w:rsid w:val="00750B52"/>
    <w:rsid w:val="00751177"/>
    <w:rsid w:val="00752BB7"/>
    <w:rsid w:val="00754343"/>
    <w:rsid w:val="00755BC5"/>
    <w:rsid w:val="00760614"/>
    <w:rsid w:val="00762982"/>
    <w:rsid w:val="00763AD2"/>
    <w:rsid w:val="00765623"/>
    <w:rsid w:val="00765DBE"/>
    <w:rsid w:val="0076651A"/>
    <w:rsid w:val="0076651C"/>
    <w:rsid w:val="00766BA4"/>
    <w:rsid w:val="00770671"/>
    <w:rsid w:val="00770D1D"/>
    <w:rsid w:val="00770D30"/>
    <w:rsid w:val="00771157"/>
    <w:rsid w:val="00773241"/>
    <w:rsid w:val="007732A5"/>
    <w:rsid w:val="00774490"/>
    <w:rsid w:val="00775239"/>
    <w:rsid w:val="007762CD"/>
    <w:rsid w:val="00776AB2"/>
    <w:rsid w:val="007808C9"/>
    <w:rsid w:val="0078355A"/>
    <w:rsid w:val="007842EE"/>
    <w:rsid w:val="007853BF"/>
    <w:rsid w:val="00785518"/>
    <w:rsid w:val="007907E9"/>
    <w:rsid w:val="007928E2"/>
    <w:rsid w:val="00793302"/>
    <w:rsid w:val="0079441A"/>
    <w:rsid w:val="0079464A"/>
    <w:rsid w:val="00796829"/>
    <w:rsid w:val="0079778D"/>
    <w:rsid w:val="00797A2B"/>
    <w:rsid w:val="007A0E79"/>
    <w:rsid w:val="007A40CD"/>
    <w:rsid w:val="007A477B"/>
    <w:rsid w:val="007A4CE9"/>
    <w:rsid w:val="007A5EDD"/>
    <w:rsid w:val="007A636E"/>
    <w:rsid w:val="007A6FEB"/>
    <w:rsid w:val="007B03EF"/>
    <w:rsid w:val="007B1149"/>
    <w:rsid w:val="007B34C8"/>
    <w:rsid w:val="007B36A9"/>
    <w:rsid w:val="007B62D5"/>
    <w:rsid w:val="007C0A82"/>
    <w:rsid w:val="007C0B19"/>
    <w:rsid w:val="007C1852"/>
    <w:rsid w:val="007C1CB1"/>
    <w:rsid w:val="007C2F68"/>
    <w:rsid w:val="007C4BAA"/>
    <w:rsid w:val="007C573A"/>
    <w:rsid w:val="007C5A27"/>
    <w:rsid w:val="007C6D50"/>
    <w:rsid w:val="007C6F32"/>
    <w:rsid w:val="007C745E"/>
    <w:rsid w:val="007C7A25"/>
    <w:rsid w:val="007D0091"/>
    <w:rsid w:val="007D0845"/>
    <w:rsid w:val="007D0950"/>
    <w:rsid w:val="007D1658"/>
    <w:rsid w:val="007D1774"/>
    <w:rsid w:val="007D1D9E"/>
    <w:rsid w:val="007D3077"/>
    <w:rsid w:val="007D3A66"/>
    <w:rsid w:val="007D51B6"/>
    <w:rsid w:val="007D6BC4"/>
    <w:rsid w:val="007E1707"/>
    <w:rsid w:val="007E1D9A"/>
    <w:rsid w:val="007E305F"/>
    <w:rsid w:val="007E3959"/>
    <w:rsid w:val="007E4D50"/>
    <w:rsid w:val="007E4D79"/>
    <w:rsid w:val="007E75D6"/>
    <w:rsid w:val="007F0E18"/>
    <w:rsid w:val="007F241D"/>
    <w:rsid w:val="007F5789"/>
    <w:rsid w:val="0080217F"/>
    <w:rsid w:val="008048F4"/>
    <w:rsid w:val="00806020"/>
    <w:rsid w:val="0080741E"/>
    <w:rsid w:val="0080790F"/>
    <w:rsid w:val="00807A74"/>
    <w:rsid w:val="00810DB0"/>
    <w:rsid w:val="008128E7"/>
    <w:rsid w:val="00813714"/>
    <w:rsid w:val="00814711"/>
    <w:rsid w:val="008148E5"/>
    <w:rsid w:val="0081493F"/>
    <w:rsid w:val="0081607E"/>
    <w:rsid w:val="00816EB4"/>
    <w:rsid w:val="0082117B"/>
    <w:rsid w:val="00821573"/>
    <w:rsid w:val="00822715"/>
    <w:rsid w:val="008233E1"/>
    <w:rsid w:val="00824FC1"/>
    <w:rsid w:val="0082520E"/>
    <w:rsid w:val="00825277"/>
    <w:rsid w:val="0082618F"/>
    <w:rsid w:val="008276BF"/>
    <w:rsid w:val="008279D5"/>
    <w:rsid w:val="008317B6"/>
    <w:rsid w:val="00833A79"/>
    <w:rsid w:val="00835EC4"/>
    <w:rsid w:val="00837940"/>
    <w:rsid w:val="0084070C"/>
    <w:rsid w:val="00840E32"/>
    <w:rsid w:val="00840E4B"/>
    <w:rsid w:val="0084315D"/>
    <w:rsid w:val="00843EF4"/>
    <w:rsid w:val="0084417F"/>
    <w:rsid w:val="00844CD0"/>
    <w:rsid w:val="008451D7"/>
    <w:rsid w:val="00845529"/>
    <w:rsid w:val="008476F0"/>
    <w:rsid w:val="00847765"/>
    <w:rsid w:val="00850051"/>
    <w:rsid w:val="0085216C"/>
    <w:rsid w:val="008551AF"/>
    <w:rsid w:val="0086017D"/>
    <w:rsid w:val="0086030D"/>
    <w:rsid w:val="00861AFF"/>
    <w:rsid w:val="008639C6"/>
    <w:rsid w:val="00866019"/>
    <w:rsid w:val="008662F2"/>
    <w:rsid w:val="00867357"/>
    <w:rsid w:val="008675F3"/>
    <w:rsid w:val="00870531"/>
    <w:rsid w:val="00870B3F"/>
    <w:rsid w:val="00870FFB"/>
    <w:rsid w:val="00873C67"/>
    <w:rsid w:val="00876964"/>
    <w:rsid w:val="008771F8"/>
    <w:rsid w:val="0088440E"/>
    <w:rsid w:val="00885979"/>
    <w:rsid w:val="00886C7F"/>
    <w:rsid w:val="00886FB2"/>
    <w:rsid w:val="00887446"/>
    <w:rsid w:val="00890E97"/>
    <w:rsid w:val="00891F50"/>
    <w:rsid w:val="00892C64"/>
    <w:rsid w:val="008955E8"/>
    <w:rsid w:val="008957FA"/>
    <w:rsid w:val="008976F6"/>
    <w:rsid w:val="00897B44"/>
    <w:rsid w:val="008A19E6"/>
    <w:rsid w:val="008A3A4A"/>
    <w:rsid w:val="008A3AF1"/>
    <w:rsid w:val="008A5D19"/>
    <w:rsid w:val="008A637F"/>
    <w:rsid w:val="008B04E5"/>
    <w:rsid w:val="008B07C3"/>
    <w:rsid w:val="008B2505"/>
    <w:rsid w:val="008B595C"/>
    <w:rsid w:val="008B7884"/>
    <w:rsid w:val="008C1A72"/>
    <w:rsid w:val="008C266F"/>
    <w:rsid w:val="008C27ED"/>
    <w:rsid w:val="008C4DBE"/>
    <w:rsid w:val="008C5E70"/>
    <w:rsid w:val="008C61FC"/>
    <w:rsid w:val="008C7166"/>
    <w:rsid w:val="008C781E"/>
    <w:rsid w:val="008C7B15"/>
    <w:rsid w:val="008D1257"/>
    <w:rsid w:val="008D55B0"/>
    <w:rsid w:val="008D7257"/>
    <w:rsid w:val="008D7EC3"/>
    <w:rsid w:val="008E0C6A"/>
    <w:rsid w:val="008E1900"/>
    <w:rsid w:val="008E2372"/>
    <w:rsid w:val="008E3926"/>
    <w:rsid w:val="008E4865"/>
    <w:rsid w:val="008E56F3"/>
    <w:rsid w:val="008E5EF3"/>
    <w:rsid w:val="008E6076"/>
    <w:rsid w:val="008E6C72"/>
    <w:rsid w:val="008F0E19"/>
    <w:rsid w:val="008F17DC"/>
    <w:rsid w:val="008F2782"/>
    <w:rsid w:val="008F3139"/>
    <w:rsid w:val="008F37C8"/>
    <w:rsid w:val="008F3C1A"/>
    <w:rsid w:val="008F49D5"/>
    <w:rsid w:val="008F4AA4"/>
    <w:rsid w:val="009006A3"/>
    <w:rsid w:val="0090126D"/>
    <w:rsid w:val="00901508"/>
    <w:rsid w:val="009026DA"/>
    <w:rsid w:val="00902FD4"/>
    <w:rsid w:val="0090376F"/>
    <w:rsid w:val="00903FD6"/>
    <w:rsid w:val="00904A9A"/>
    <w:rsid w:val="00905151"/>
    <w:rsid w:val="00905B1B"/>
    <w:rsid w:val="009060BB"/>
    <w:rsid w:val="0090690C"/>
    <w:rsid w:val="009079B4"/>
    <w:rsid w:val="009104BD"/>
    <w:rsid w:val="00914482"/>
    <w:rsid w:val="00914B60"/>
    <w:rsid w:val="00915091"/>
    <w:rsid w:val="00915A89"/>
    <w:rsid w:val="00915B0D"/>
    <w:rsid w:val="00915DCA"/>
    <w:rsid w:val="00915F26"/>
    <w:rsid w:val="0091643F"/>
    <w:rsid w:val="00917177"/>
    <w:rsid w:val="00917326"/>
    <w:rsid w:val="009173E7"/>
    <w:rsid w:val="00920F65"/>
    <w:rsid w:val="00922BDB"/>
    <w:rsid w:val="00922DFE"/>
    <w:rsid w:val="0092434D"/>
    <w:rsid w:val="00924FB1"/>
    <w:rsid w:val="00925724"/>
    <w:rsid w:val="0092772D"/>
    <w:rsid w:val="0093152A"/>
    <w:rsid w:val="00932831"/>
    <w:rsid w:val="00937390"/>
    <w:rsid w:val="00941E6E"/>
    <w:rsid w:val="00942CF6"/>
    <w:rsid w:val="0094484F"/>
    <w:rsid w:val="00945904"/>
    <w:rsid w:val="009470C0"/>
    <w:rsid w:val="009479FC"/>
    <w:rsid w:val="00952DA6"/>
    <w:rsid w:val="00953347"/>
    <w:rsid w:val="00953A17"/>
    <w:rsid w:val="00953D4F"/>
    <w:rsid w:val="00954D65"/>
    <w:rsid w:val="009625F2"/>
    <w:rsid w:val="0096277E"/>
    <w:rsid w:val="009634C9"/>
    <w:rsid w:val="009635E5"/>
    <w:rsid w:val="00964F17"/>
    <w:rsid w:val="00965650"/>
    <w:rsid w:val="00965C28"/>
    <w:rsid w:val="0097127F"/>
    <w:rsid w:val="0097135B"/>
    <w:rsid w:val="009719BA"/>
    <w:rsid w:val="009729AF"/>
    <w:rsid w:val="00974EC8"/>
    <w:rsid w:val="00975374"/>
    <w:rsid w:val="00975506"/>
    <w:rsid w:val="00976723"/>
    <w:rsid w:val="009808B7"/>
    <w:rsid w:val="00981068"/>
    <w:rsid w:val="00983296"/>
    <w:rsid w:val="009859B4"/>
    <w:rsid w:val="00985FC0"/>
    <w:rsid w:val="0098709D"/>
    <w:rsid w:val="00987E2E"/>
    <w:rsid w:val="00990719"/>
    <w:rsid w:val="00990A64"/>
    <w:rsid w:val="00992370"/>
    <w:rsid w:val="0099276F"/>
    <w:rsid w:val="009930CF"/>
    <w:rsid w:val="009941F7"/>
    <w:rsid w:val="009947C8"/>
    <w:rsid w:val="009967BC"/>
    <w:rsid w:val="00996D8C"/>
    <w:rsid w:val="00997FCF"/>
    <w:rsid w:val="009A03D2"/>
    <w:rsid w:val="009A14F6"/>
    <w:rsid w:val="009A348C"/>
    <w:rsid w:val="009A466E"/>
    <w:rsid w:val="009A4DC5"/>
    <w:rsid w:val="009A5868"/>
    <w:rsid w:val="009A65D3"/>
    <w:rsid w:val="009B11F6"/>
    <w:rsid w:val="009B3D07"/>
    <w:rsid w:val="009B6798"/>
    <w:rsid w:val="009B748F"/>
    <w:rsid w:val="009C1BEB"/>
    <w:rsid w:val="009C2566"/>
    <w:rsid w:val="009C2B3D"/>
    <w:rsid w:val="009C31B2"/>
    <w:rsid w:val="009C4AE3"/>
    <w:rsid w:val="009C4AFB"/>
    <w:rsid w:val="009C53A9"/>
    <w:rsid w:val="009C567D"/>
    <w:rsid w:val="009C584B"/>
    <w:rsid w:val="009C5CC5"/>
    <w:rsid w:val="009C5E93"/>
    <w:rsid w:val="009C686D"/>
    <w:rsid w:val="009C7EBD"/>
    <w:rsid w:val="009D174D"/>
    <w:rsid w:val="009D2D2E"/>
    <w:rsid w:val="009D3462"/>
    <w:rsid w:val="009D449B"/>
    <w:rsid w:val="009D66E8"/>
    <w:rsid w:val="009D770C"/>
    <w:rsid w:val="009E03E2"/>
    <w:rsid w:val="009E14C2"/>
    <w:rsid w:val="009E1AC1"/>
    <w:rsid w:val="009E2268"/>
    <w:rsid w:val="009E27BA"/>
    <w:rsid w:val="009E27DD"/>
    <w:rsid w:val="009E29D4"/>
    <w:rsid w:val="009E2EBF"/>
    <w:rsid w:val="009E39A1"/>
    <w:rsid w:val="009E434F"/>
    <w:rsid w:val="009E49CC"/>
    <w:rsid w:val="009E4DB3"/>
    <w:rsid w:val="009E6908"/>
    <w:rsid w:val="009E6AC9"/>
    <w:rsid w:val="009E76AD"/>
    <w:rsid w:val="009F09B0"/>
    <w:rsid w:val="009F0CCC"/>
    <w:rsid w:val="009F27D3"/>
    <w:rsid w:val="009F5179"/>
    <w:rsid w:val="009F5B76"/>
    <w:rsid w:val="009F5FC7"/>
    <w:rsid w:val="00A00D38"/>
    <w:rsid w:val="00A01064"/>
    <w:rsid w:val="00A025D7"/>
    <w:rsid w:val="00A02DD7"/>
    <w:rsid w:val="00A04984"/>
    <w:rsid w:val="00A04BB8"/>
    <w:rsid w:val="00A06454"/>
    <w:rsid w:val="00A06CBA"/>
    <w:rsid w:val="00A0726E"/>
    <w:rsid w:val="00A102C6"/>
    <w:rsid w:val="00A15B32"/>
    <w:rsid w:val="00A1668A"/>
    <w:rsid w:val="00A16DC2"/>
    <w:rsid w:val="00A17770"/>
    <w:rsid w:val="00A17D5B"/>
    <w:rsid w:val="00A23953"/>
    <w:rsid w:val="00A23D48"/>
    <w:rsid w:val="00A23FEE"/>
    <w:rsid w:val="00A26EF3"/>
    <w:rsid w:val="00A3110B"/>
    <w:rsid w:val="00A32C65"/>
    <w:rsid w:val="00A34C82"/>
    <w:rsid w:val="00A35E7B"/>
    <w:rsid w:val="00A43C11"/>
    <w:rsid w:val="00A44BAA"/>
    <w:rsid w:val="00A44F57"/>
    <w:rsid w:val="00A453D4"/>
    <w:rsid w:val="00A459F8"/>
    <w:rsid w:val="00A4738A"/>
    <w:rsid w:val="00A47B4F"/>
    <w:rsid w:val="00A5079E"/>
    <w:rsid w:val="00A50CC2"/>
    <w:rsid w:val="00A517A7"/>
    <w:rsid w:val="00A520C4"/>
    <w:rsid w:val="00A538CC"/>
    <w:rsid w:val="00A5716F"/>
    <w:rsid w:val="00A60791"/>
    <w:rsid w:val="00A6190E"/>
    <w:rsid w:val="00A61F56"/>
    <w:rsid w:val="00A62483"/>
    <w:rsid w:val="00A64C1D"/>
    <w:rsid w:val="00A66D49"/>
    <w:rsid w:val="00A67338"/>
    <w:rsid w:val="00A71842"/>
    <w:rsid w:val="00A7202D"/>
    <w:rsid w:val="00A72EFD"/>
    <w:rsid w:val="00A74922"/>
    <w:rsid w:val="00A751C1"/>
    <w:rsid w:val="00A75583"/>
    <w:rsid w:val="00A75837"/>
    <w:rsid w:val="00A76E87"/>
    <w:rsid w:val="00A847B1"/>
    <w:rsid w:val="00A86AB6"/>
    <w:rsid w:val="00A920CD"/>
    <w:rsid w:val="00A933E6"/>
    <w:rsid w:val="00A94117"/>
    <w:rsid w:val="00A94263"/>
    <w:rsid w:val="00A94CC9"/>
    <w:rsid w:val="00A94D9E"/>
    <w:rsid w:val="00A94EDB"/>
    <w:rsid w:val="00A9668E"/>
    <w:rsid w:val="00AA011D"/>
    <w:rsid w:val="00AA0292"/>
    <w:rsid w:val="00AA55F2"/>
    <w:rsid w:val="00AA5972"/>
    <w:rsid w:val="00AA6A74"/>
    <w:rsid w:val="00AA6BC6"/>
    <w:rsid w:val="00AA703A"/>
    <w:rsid w:val="00AB20C2"/>
    <w:rsid w:val="00AB2703"/>
    <w:rsid w:val="00AB45E0"/>
    <w:rsid w:val="00AB4EAD"/>
    <w:rsid w:val="00AB56E6"/>
    <w:rsid w:val="00AB6E0B"/>
    <w:rsid w:val="00AB6F16"/>
    <w:rsid w:val="00AC2494"/>
    <w:rsid w:val="00AC4C42"/>
    <w:rsid w:val="00AC4CD6"/>
    <w:rsid w:val="00AC5FDE"/>
    <w:rsid w:val="00AC72BD"/>
    <w:rsid w:val="00AD00DB"/>
    <w:rsid w:val="00AD0B71"/>
    <w:rsid w:val="00AD2ADA"/>
    <w:rsid w:val="00AD369B"/>
    <w:rsid w:val="00AD707F"/>
    <w:rsid w:val="00AE0B6D"/>
    <w:rsid w:val="00AE12E3"/>
    <w:rsid w:val="00AE1CDC"/>
    <w:rsid w:val="00AE1E3B"/>
    <w:rsid w:val="00AE34A3"/>
    <w:rsid w:val="00AE4478"/>
    <w:rsid w:val="00AE458B"/>
    <w:rsid w:val="00AE46EC"/>
    <w:rsid w:val="00AE64EE"/>
    <w:rsid w:val="00AE650A"/>
    <w:rsid w:val="00AE65B8"/>
    <w:rsid w:val="00AE7D61"/>
    <w:rsid w:val="00AF041A"/>
    <w:rsid w:val="00AF0691"/>
    <w:rsid w:val="00AF109E"/>
    <w:rsid w:val="00AF1D15"/>
    <w:rsid w:val="00AF1DE6"/>
    <w:rsid w:val="00B00460"/>
    <w:rsid w:val="00B00D29"/>
    <w:rsid w:val="00B01975"/>
    <w:rsid w:val="00B0217D"/>
    <w:rsid w:val="00B04178"/>
    <w:rsid w:val="00B05E62"/>
    <w:rsid w:val="00B0636F"/>
    <w:rsid w:val="00B078FE"/>
    <w:rsid w:val="00B07FDA"/>
    <w:rsid w:val="00B11CF6"/>
    <w:rsid w:val="00B11E66"/>
    <w:rsid w:val="00B14B0E"/>
    <w:rsid w:val="00B16321"/>
    <w:rsid w:val="00B16B77"/>
    <w:rsid w:val="00B17D6A"/>
    <w:rsid w:val="00B22994"/>
    <w:rsid w:val="00B22C38"/>
    <w:rsid w:val="00B23AE7"/>
    <w:rsid w:val="00B254BA"/>
    <w:rsid w:val="00B26D99"/>
    <w:rsid w:val="00B26EC1"/>
    <w:rsid w:val="00B27145"/>
    <w:rsid w:val="00B27F7A"/>
    <w:rsid w:val="00B317AF"/>
    <w:rsid w:val="00B324C9"/>
    <w:rsid w:val="00B32F47"/>
    <w:rsid w:val="00B35763"/>
    <w:rsid w:val="00B35B01"/>
    <w:rsid w:val="00B35BC2"/>
    <w:rsid w:val="00B3662F"/>
    <w:rsid w:val="00B406EB"/>
    <w:rsid w:val="00B43112"/>
    <w:rsid w:val="00B44056"/>
    <w:rsid w:val="00B45142"/>
    <w:rsid w:val="00B45F56"/>
    <w:rsid w:val="00B50918"/>
    <w:rsid w:val="00B50EB7"/>
    <w:rsid w:val="00B530E4"/>
    <w:rsid w:val="00B536CD"/>
    <w:rsid w:val="00B540A4"/>
    <w:rsid w:val="00B56388"/>
    <w:rsid w:val="00B6072E"/>
    <w:rsid w:val="00B624BE"/>
    <w:rsid w:val="00B62B3E"/>
    <w:rsid w:val="00B63ED9"/>
    <w:rsid w:val="00B65982"/>
    <w:rsid w:val="00B66B53"/>
    <w:rsid w:val="00B672D9"/>
    <w:rsid w:val="00B71C58"/>
    <w:rsid w:val="00B72054"/>
    <w:rsid w:val="00B720BF"/>
    <w:rsid w:val="00B73E00"/>
    <w:rsid w:val="00B74EE0"/>
    <w:rsid w:val="00B77C70"/>
    <w:rsid w:val="00B804F8"/>
    <w:rsid w:val="00B807AA"/>
    <w:rsid w:val="00B80B1B"/>
    <w:rsid w:val="00B83AF6"/>
    <w:rsid w:val="00B83C0F"/>
    <w:rsid w:val="00B84F28"/>
    <w:rsid w:val="00B85173"/>
    <w:rsid w:val="00B852EC"/>
    <w:rsid w:val="00B86599"/>
    <w:rsid w:val="00B871E5"/>
    <w:rsid w:val="00B87884"/>
    <w:rsid w:val="00B90CD6"/>
    <w:rsid w:val="00B92CAD"/>
    <w:rsid w:val="00B93BC9"/>
    <w:rsid w:val="00B9489B"/>
    <w:rsid w:val="00B9654A"/>
    <w:rsid w:val="00BA05FA"/>
    <w:rsid w:val="00BA3159"/>
    <w:rsid w:val="00BA547E"/>
    <w:rsid w:val="00BA54F4"/>
    <w:rsid w:val="00BA6B41"/>
    <w:rsid w:val="00BA7715"/>
    <w:rsid w:val="00BB0080"/>
    <w:rsid w:val="00BB019F"/>
    <w:rsid w:val="00BB1081"/>
    <w:rsid w:val="00BB1765"/>
    <w:rsid w:val="00BB1C98"/>
    <w:rsid w:val="00BB2642"/>
    <w:rsid w:val="00BB2A40"/>
    <w:rsid w:val="00BB2A95"/>
    <w:rsid w:val="00BB2C6C"/>
    <w:rsid w:val="00BB463B"/>
    <w:rsid w:val="00BB73B1"/>
    <w:rsid w:val="00BB7683"/>
    <w:rsid w:val="00BC093F"/>
    <w:rsid w:val="00BC0C89"/>
    <w:rsid w:val="00BC29F7"/>
    <w:rsid w:val="00BC3F3E"/>
    <w:rsid w:val="00BC4879"/>
    <w:rsid w:val="00BC55ED"/>
    <w:rsid w:val="00BC6236"/>
    <w:rsid w:val="00BC6A1B"/>
    <w:rsid w:val="00BD1751"/>
    <w:rsid w:val="00BD3C44"/>
    <w:rsid w:val="00BD55AB"/>
    <w:rsid w:val="00BD585F"/>
    <w:rsid w:val="00BE0B1C"/>
    <w:rsid w:val="00BE12E5"/>
    <w:rsid w:val="00BE1990"/>
    <w:rsid w:val="00BE1CC2"/>
    <w:rsid w:val="00BE1E8B"/>
    <w:rsid w:val="00BE293F"/>
    <w:rsid w:val="00BE402B"/>
    <w:rsid w:val="00BE4527"/>
    <w:rsid w:val="00BE6DA7"/>
    <w:rsid w:val="00BE789B"/>
    <w:rsid w:val="00BF0CE0"/>
    <w:rsid w:val="00BF1A56"/>
    <w:rsid w:val="00BF32CA"/>
    <w:rsid w:val="00BF5A6B"/>
    <w:rsid w:val="00BF6802"/>
    <w:rsid w:val="00C0037E"/>
    <w:rsid w:val="00C0373F"/>
    <w:rsid w:val="00C03782"/>
    <w:rsid w:val="00C03869"/>
    <w:rsid w:val="00C04025"/>
    <w:rsid w:val="00C045CC"/>
    <w:rsid w:val="00C05955"/>
    <w:rsid w:val="00C05A3D"/>
    <w:rsid w:val="00C05CE6"/>
    <w:rsid w:val="00C060B2"/>
    <w:rsid w:val="00C06284"/>
    <w:rsid w:val="00C06EFA"/>
    <w:rsid w:val="00C06FEE"/>
    <w:rsid w:val="00C1093E"/>
    <w:rsid w:val="00C1212E"/>
    <w:rsid w:val="00C122B7"/>
    <w:rsid w:val="00C12733"/>
    <w:rsid w:val="00C129F9"/>
    <w:rsid w:val="00C13311"/>
    <w:rsid w:val="00C15477"/>
    <w:rsid w:val="00C157E8"/>
    <w:rsid w:val="00C15E9F"/>
    <w:rsid w:val="00C16F00"/>
    <w:rsid w:val="00C16FBF"/>
    <w:rsid w:val="00C20B7A"/>
    <w:rsid w:val="00C20BE7"/>
    <w:rsid w:val="00C210F1"/>
    <w:rsid w:val="00C24477"/>
    <w:rsid w:val="00C24FC9"/>
    <w:rsid w:val="00C26824"/>
    <w:rsid w:val="00C30718"/>
    <w:rsid w:val="00C322C9"/>
    <w:rsid w:val="00C339BB"/>
    <w:rsid w:val="00C35579"/>
    <w:rsid w:val="00C3586A"/>
    <w:rsid w:val="00C37512"/>
    <w:rsid w:val="00C40CFC"/>
    <w:rsid w:val="00C46855"/>
    <w:rsid w:val="00C4770B"/>
    <w:rsid w:val="00C508A0"/>
    <w:rsid w:val="00C51837"/>
    <w:rsid w:val="00C51E6E"/>
    <w:rsid w:val="00C54657"/>
    <w:rsid w:val="00C550BB"/>
    <w:rsid w:val="00C552BF"/>
    <w:rsid w:val="00C560ED"/>
    <w:rsid w:val="00C60E99"/>
    <w:rsid w:val="00C622AD"/>
    <w:rsid w:val="00C623D8"/>
    <w:rsid w:val="00C62967"/>
    <w:rsid w:val="00C62D61"/>
    <w:rsid w:val="00C6313F"/>
    <w:rsid w:val="00C6728D"/>
    <w:rsid w:val="00C67A8B"/>
    <w:rsid w:val="00C73935"/>
    <w:rsid w:val="00C746E2"/>
    <w:rsid w:val="00C75132"/>
    <w:rsid w:val="00C77365"/>
    <w:rsid w:val="00C80831"/>
    <w:rsid w:val="00C8140E"/>
    <w:rsid w:val="00C81D65"/>
    <w:rsid w:val="00C83E7D"/>
    <w:rsid w:val="00C90C2A"/>
    <w:rsid w:val="00C91C84"/>
    <w:rsid w:val="00C92AA8"/>
    <w:rsid w:val="00C93CAB"/>
    <w:rsid w:val="00C97A4B"/>
    <w:rsid w:val="00C97CF0"/>
    <w:rsid w:val="00CA0222"/>
    <w:rsid w:val="00CA05EE"/>
    <w:rsid w:val="00CA1149"/>
    <w:rsid w:val="00CA160A"/>
    <w:rsid w:val="00CA233F"/>
    <w:rsid w:val="00CA326F"/>
    <w:rsid w:val="00CA4FCE"/>
    <w:rsid w:val="00CA4FD0"/>
    <w:rsid w:val="00CA5A9A"/>
    <w:rsid w:val="00CA75D7"/>
    <w:rsid w:val="00CB21BE"/>
    <w:rsid w:val="00CB360C"/>
    <w:rsid w:val="00CB68B5"/>
    <w:rsid w:val="00CB7696"/>
    <w:rsid w:val="00CC491B"/>
    <w:rsid w:val="00CC5495"/>
    <w:rsid w:val="00CC69BA"/>
    <w:rsid w:val="00CD04AB"/>
    <w:rsid w:val="00CD052B"/>
    <w:rsid w:val="00CD195F"/>
    <w:rsid w:val="00CD2857"/>
    <w:rsid w:val="00CD2903"/>
    <w:rsid w:val="00CD52ED"/>
    <w:rsid w:val="00CD5A0B"/>
    <w:rsid w:val="00CD7510"/>
    <w:rsid w:val="00CE04B0"/>
    <w:rsid w:val="00CE1BD8"/>
    <w:rsid w:val="00CE2082"/>
    <w:rsid w:val="00CE2A99"/>
    <w:rsid w:val="00CE2E2E"/>
    <w:rsid w:val="00CE3696"/>
    <w:rsid w:val="00CE3F69"/>
    <w:rsid w:val="00CE6F69"/>
    <w:rsid w:val="00CF0FBA"/>
    <w:rsid w:val="00CF41B1"/>
    <w:rsid w:val="00CF4F9E"/>
    <w:rsid w:val="00CF5331"/>
    <w:rsid w:val="00CF593E"/>
    <w:rsid w:val="00CF5E4B"/>
    <w:rsid w:val="00D01601"/>
    <w:rsid w:val="00D02B1B"/>
    <w:rsid w:val="00D05203"/>
    <w:rsid w:val="00D05E85"/>
    <w:rsid w:val="00D0652D"/>
    <w:rsid w:val="00D07773"/>
    <w:rsid w:val="00D07EF2"/>
    <w:rsid w:val="00D117C6"/>
    <w:rsid w:val="00D11F24"/>
    <w:rsid w:val="00D12457"/>
    <w:rsid w:val="00D135A5"/>
    <w:rsid w:val="00D147A5"/>
    <w:rsid w:val="00D241B3"/>
    <w:rsid w:val="00D2451F"/>
    <w:rsid w:val="00D24AB1"/>
    <w:rsid w:val="00D25181"/>
    <w:rsid w:val="00D259EB"/>
    <w:rsid w:val="00D26649"/>
    <w:rsid w:val="00D27483"/>
    <w:rsid w:val="00D27C7B"/>
    <w:rsid w:val="00D32245"/>
    <w:rsid w:val="00D327DB"/>
    <w:rsid w:val="00D32887"/>
    <w:rsid w:val="00D33346"/>
    <w:rsid w:val="00D34813"/>
    <w:rsid w:val="00D34E9E"/>
    <w:rsid w:val="00D35C77"/>
    <w:rsid w:val="00D36410"/>
    <w:rsid w:val="00D37757"/>
    <w:rsid w:val="00D377C6"/>
    <w:rsid w:val="00D408FC"/>
    <w:rsid w:val="00D40A98"/>
    <w:rsid w:val="00D43447"/>
    <w:rsid w:val="00D44242"/>
    <w:rsid w:val="00D44939"/>
    <w:rsid w:val="00D451CB"/>
    <w:rsid w:val="00D45B6D"/>
    <w:rsid w:val="00D469B7"/>
    <w:rsid w:val="00D47CB4"/>
    <w:rsid w:val="00D5093C"/>
    <w:rsid w:val="00D532A5"/>
    <w:rsid w:val="00D55EB0"/>
    <w:rsid w:val="00D61E31"/>
    <w:rsid w:val="00D623CF"/>
    <w:rsid w:val="00D66091"/>
    <w:rsid w:val="00D718AF"/>
    <w:rsid w:val="00D73789"/>
    <w:rsid w:val="00D742E4"/>
    <w:rsid w:val="00D75205"/>
    <w:rsid w:val="00D82DAF"/>
    <w:rsid w:val="00D845B0"/>
    <w:rsid w:val="00D84E6D"/>
    <w:rsid w:val="00D85006"/>
    <w:rsid w:val="00D86AA8"/>
    <w:rsid w:val="00D872C2"/>
    <w:rsid w:val="00D879D5"/>
    <w:rsid w:val="00D87CF1"/>
    <w:rsid w:val="00D91FF6"/>
    <w:rsid w:val="00D92C2E"/>
    <w:rsid w:val="00D92F6B"/>
    <w:rsid w:val="00D94240"/>
    <w:rsid w:val="00D95495"/>
    <w:rsid w:val="00D961F2"/>
    <w:rsid w:val="00D96EFA"/>
    <w:rsid w:val="00D97203"/>
    <w:rsid w:val="00DA0A8D"/>
    <w:rsid w:val="00DA1D3E"/>
    <w:rsid w:val="00DA30B3"/>
    <w:rsid w:val="00DA63C3"/>
    <w:rsid w:val="00DA7230"/>
    <w:rsid w:val="00DA7C8B"/>
    <w:rsid w:val="00DB039C"/>
    <w:rsid w:val="00DB0E89"/>
    <w:rsid w:val="00DB1969"/>
    <w:rsid w:val="00DB4DB2"/>
    <w:rsid w:val="00DC2060"/>
    <w:rsid w:val="00DC37F9"/>
    <w:rsid w:val="00DC412F"/>
    <w:rsid w:val="00DC425F"/>
    <w:rsid w:val="00DC445E"/>
    <w:rsid w:val="00DC44C8"/>
    <w:rsid w:val="00DC5098"/>
    <w:rsid w:val="00DD1667"/>
    <w:rsid w:val="00DD2055"/>
    <w:rsid w:val="00DD2BFB"/>
    <w:rsid w:val="00DD3D2B"/>
    <w:rsid w:val="00DD5771"/>
    <w:rsid w:val="00DD5878"/>
    <w:rsid w:val="00DD772F"/>
    <w:rsid w:val="00DE0061"/>
    <w:rsid w:val="00DE013A"/>
    <w:rsid w:val="00DE0D03"/>
    <w:rsid w:val="00DE1E2B"/>
    <w:rsid w:val="00DE4211"/>
    <w:rsid w:val="00DE4444"/>
    <w:rsid w:val="00DE5E2F"/>
    <w:rsid w:val="00DE5E90"/>
    <w:rsid w:val="00DE7268"/>
    <w:rsid w:val="00DE74B8"/>
    <w:rsid w:val="00DF0EED"/>
    <w:rsid w:val="00DF1CF5"/>
    <w:rsid w:val="00DF7D21"/>
    <w:rsid w:val="00E007F2"/>
    <w:rsid w:val="00E01C64"/>
    <w:rsid w:val="00E10589"/>
    <w:rsid w:val="00E10FEF"/>
    <w:rsid w:val="00E146E6"/>
    <w:rsid w:val="00E21859"/>
    <w:rsid w:val="00E26F49"/>
    <w:rsid w:val="00E2754F"/>
    <w:rsid w:val="00E27582"/>
    <w:rsid w:val="00E300C7"/>
    <w:rsid w:val="00E30656"/>
    <w:rsid w:val="00E30A23"/>
    <w:rsid w:val="00E31109"/>
    <w:rsid w:val="00E3293C"/>
    <w:rsid w:val="00E332E7"/>
    <w:rsid w:val="00E33A01"/>
    <w:rsid w:val="00E36C17"/>
    <w:rsid w:val="00E36C3C"/>
    <w:rsid w:val="00E36F7A"/>
    <w:rsid w:val="00E379FA"/>
    <w:rsid w:val="00E37F7E"/>
    <w:rsid w:val="00E40647"/>
    <w:rsid w:val="00E41D32"/>
    <w:rsid w:val="00E4216B"/>
    <w:rsid w:val="00E452C6"/>
    <w:rsid w:val="00E46C82"/>
    <w:rsid w:val="00E47451"/>
    <w:rsid w:val="00E53E29"/>
    <w:rsid w:val="00E56718"/>
    <w:rsid w:val="00E5780D"/>
    <w:rsid w:val="00E611B8"/>
    <w:rsid w:val="00E65956"/>
    <w:rsid w:val="00E667FD"/>
    <w:rsid w:val="00E66BB6"/>
    <w:rsid w:val="00E67813"/>
    <w:rsid w:val="00E67BBB"/>
    <w:rsid w:val="00E73223"/>
    <w:rsid w:val="00E73C98"/>
    <w:rsid w:val="00E74BA7"/>
    <w:rsid w:val="00E757CA"/>
    <w:rsid w:val="00E75DA8"/>
    <w:rsid w:val="00E7604C"/>
    <w:rsid w:val="00E84C7E"/>
    <w:rsid w:val="00E84C81"/>
    <w:rsid w:val="00E857FD"/>
    <w:rsid w:val="00E85A9B"/>
    <w:rsid w:val="00E86271"/>
    <w:rsid w:val="00E90AC3"/>
    <w:rsid w:val="00E92AD6"/>
    <w:rsid w:val="00E92E3C"/>
    <w:rsid w:val="00E93814"/>
    <w:rsid w:val="00E951F9"/>
    <w:rsid w:val="00E95340"/>
    <w:rsid w:val="00E9625B"/>
    <w:rsid w:val="00EA01B9"/>
    <w:rsid w:val="00EA109E"/>
    <w:rsid w:val="00EA14C7"/>
    <w:rsid w:val="00EA3691"/>
    <w:rsid w:val="00EA3E98"/>
    <w:rsid w:val="00EA3FB4"/>
    <w:rsid w:val="00EA44F3"/>
    <w:rsid w:val="00EA4755"/>
    <w:rsid w:val="00EA533B"/>
    <w:rsid w:val="00EA5753"/>
    <w:rsid w:val="00EB280B"/>
    <w:rsid w:val="00EB3277"/>
    <w:rsid w:val="00EB4F0A"/>
    <w:rsid w:val="00EB5B34"/>
    <w:rsid w:val="00EB6FC1"/>
    <w:rsid w:val="00EB71B0"/>
    <w:rsid w:val="00EB7E8E"/>
    <w:rsid w:val="00EC0041"/>
    <w:rsid w:val="00EC0D93"/>
    <w:rsid w:val="00EC4184"/>
    <w:rsid w:val="00EC4FDF"/>
    <w:rsid w:val="00EC5A0A"/>
    <w:rsid w:val="00EC604B"/>
    <w:rsid w:val="00EC772D"/>
    <w:rsid w:val="00EC77DF"/>
    <w:rsid w:val="00ED18B9"/>
    <w:rsid w:val="00ED19AC"/>
    <w:rsid w:val="00ED37C7"/>
    <w:rsid w:val="00ED689F"/>
    <w:rsid w:val="00ED709D"/>
    <w:rsid w:val="00ED7600"/>
    <w:rsid w:val="00EE0824"/>
    <w:rsid w:val="00EE4A7F"/>
    <w:rsid w:val="00EE5027"/>
    <w:rsid w:val="00EE56FE"/>
    <w:rsid w:val="00EE5A6E"/>
    <w:rsid w:val="00EF0BCC"/>
    <w:rsid w:val="00EF1438"/>
    <w:rsid w:val="00EF1EA4"/>
    <w:rsid w:val="00EF32C8"/>
    <w:rsid w:val="00EF3F66"/>
    <w:rsid w:val="00EF4A09"/>
    <w:rsid w:val="00EF4E7F"/>
    <w:rsid w:val="00F00692"/>
    <w:rsid w:val="00F025BC"/>
    <w:rsid w:val="00F02AD5"/>
    <w:rsid w:val="00F02E4E"/>
    <w:rsid w:val="00F02E7F"/>
    <w:rsid w:val="00F0302E"/>
    <w:rsid w:val="00F03F71"/>
    <w:rsid w:val="00F04831"/>
    <w:rsid w:val="00F0550C"/>
    <w:rsid w:val="00F05625"/>
    <w:rsid w:val="00F05923"/>
    <w:rsid w:val="00F11F73"/>
    <w:rsid w:val="00F12D43"/>
    <w:rsid w:val="00F146A5"/>
    <w:rsid w:val="00F1498F"/>
    <w:rsid w:val="00F1666D"/>
    <w:rsid w:val="00F16957"/>
    <w:rsid w:val="00F2037C"/>
    <w:rsid w:val="00F20564"/>
    <w:rsid w:val="00F21A49"/>
    <w:rsid w:val="00F2218E"/>
    <w:rsid w:val="00F22DAC"/>
    <w:rsid w:val="00F2304A"/>
    <w:rsid w:val="00F23562"/>
    <w:rsid w:val="00F23945"/>
    <w:rsid w:val="00F24087"/>
    <w:rsid w:val="00F2552E"/>
    <w:rsid w:val="00F26D00"/>
    <w:rsid w:val="00F272D7"/>
    <w:rsid w:val="00F275E4"/>
    <w:rsid w:val="00F3029A"/>
    <w:rsid w:val="00F30F0D"/>
    <w:rsid w:val="00F317B2"/>
    <w:rsid w:val="00F32F77"/>
    <w:rsid w:val="00F3401B"/>
    <w:rsid w:val="00F35F3D"/>
    <w:rsid w:val="00F36027"/>
    <w:rsid w:val="00F40007"/>
    <w:rsid w:val="00F417E4"/>
    <w:rsid w:val="00F43470"/>
    <w:rsid w:val="00F43CF8"/>
    <w:rsid w:val="00F44ADB"/>
    <w:rsid w:val="00F44F5A"/>
    <w:rsid w:val="00F450BB"/>
    <w:rsid w:val="00F519DA"/>
    <w:rsid w:val="00F51F3D"/>
    <w:rsid w:val="00F533E0"/>
    <w:rsid w:val="00F60444"/>
    <w:rsid w:val="00F62B2D"/>
    <w:rsid w:val="00F65C0A"/>
    <w:rsid w:val="00F65D43"/>
    <w:rsid w:val="00F65F6F"/>
    <w:rsid w:val="00F67115"/>
    <w:rsid w:val="00F67497"/>
    <w:rsid w:val="00F714A8"/>
    <w:rsid w:val="00F72301"/>
    <w:rsid w:val="00F7266A"/>
    <w:rsid w:val="00F73F6A"/>
    <w:rsid w:val="00F752BB"/>
    <w:rsid w:val="00F75D30"/>
    <w:rsid w:val="00F8186D"/>
    <w:rsid w:val="00F83742"/>
    <w:rsid w:val="00F869C2"/>
    <w:rsid w:val="00F87509"/>
    <w:rsid w:val="00F87E39"/>
    <w:rsid w:val="00F90575"/>
    <w:rsid w:val="00F90905"/>
    <w:rsid w:val="00F91720"/>
    <w:rsid w:val="00F9211C"/>
    <w:rsid w:val="00F92730"/>
    <w:rsid w:val="00F93033"/>
    <w:rsid w:val="00F95570"/>
    <w:rsid w:val="00F95AC1"/>
    <w:rsid w:val="00F96129"/>
    <w:rsid w:val="00F96E14"/>
    <w:rsid w:val="00F970EE"/>
    <w:rsid w:val="00FA1394"/>
    <w:rsid w:val="00FA1C05"/>
    <w:rsid w:val="00FA2A1B"/>
    <w:rsid w:val="00FA4C23"/>
    <w:rsid w:val="00FA5A11"/>
    <w:rsid w:val="00FA5D0D"/>
    <w:rsid w:val="00FA6264"/>
    <w:rsid w:val="00FA711B"/>
    <w:rsid w:val="00FA7D4A"/>
    <w:rsid w:val="00FB06EB"/>
    <w:rsid w:val="00FB0783"/>
    <w:rsid w:val="00FB085E"/>
    <w:rsid w:val="00FB092F"/>
    <w:rsid w:val="00FB1883"/>
    <w:rsid w:val="00FB29D1"/>
    <w:rsid w:val="00FB57F5"/>
    <w:rsid w:val="00FB5CA1"/>
    <w:rsid w:val="00FC0DBB"/>
    <w:rsid w:val="00FC2262"/>
    <w:rsid w:val="00FC62FD"/>
    <w:rsid w:val="00FC716E"/>
    <w:rsid w:val="00FD0EA8"/>
    <w:rsid w:val="00FD1EAE"/>
    <w:rsid w:val="00FD2B51"/>
    <w:rsid w:val="00FD571E"/>
    <w:rsid w:val="00FD7836"/>
    <w:rsid w:val="00FD7C6D"/>
    <w:rsid w:val="00FD7FAB"/>
    <w:rsid w:val="00FE3069"/>
    <w:rsid w:val="00FE3245"/>
    <w:rsid w:val="00FE5277"/>
    <w:rsid w:val="00FE56E1"/>
    <w:rsid w:val="00FE6042"/>
    <w:rsid w:val="00FE770A"/>
    <w:rsid w:val="00FF23D8"/>
    <w:rsid w:val="00FF2481"/>
    <w:rsid w:val="00FF3A04"/>
    <w:rsid w:val="00FF4FB7"/>
    <w:rsid w:val="00FF64FA"/>
    <w:rsid w:val="00FF6736"/>
    <w:rsid w:val="00FF6FAE"/>
    <w:rsid w:val="00FF7256"/>
    <w:rsid w:val="00FF7F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411F4"/>
  <w15:docId w15:val="{0229B850-AF68-4E26-A005-2657ADEC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19"/>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12E"/>
    <w:rPr>
      <w:rFonts w:ascii="Arial" w:hAnsi="Arial"/>
      <w:sz w:val="22"/>
    </w:rPr>
  </w:style>
  <w:style w:type="paragraph" w:styleId="Ttulo1">
    <w:name w:val="heading 1"/>
    <w:basedOn w:val="Normal"/>
    <w:next w:val="Normal"/>
    <w:link w:val="Ttulo1Car"/>
    <w:uiPriority w:val="9"/>
    <w:qFormat/>
    <w:rsid w:val="00CE04B0"/>
    <w:pPr>
      <w:keepNext/>
      <w:keepLines/>
      <w:spacing w:before="240"/>
      <w:outlineLvl w:val="0"/>
    </w:pPr>
    <w:rPr>
      <w:rFonts w:eastAsiaTheme="majorEastAsia" w:cstheme="majorBidi"/>
      <w:b/>
      <w:color w:val="auto"/>
      <w:sz w:val="28"/>
      <w:szCs w:val="32"/>
    </w:rPr>
  </w:style>
  <w:style w:type="paragraph" w:styleId="Ttulo2">
    <w:name w:val="heading 2"/>
    <w:next w:val="Normal"/>
    <w:link w:val="Ttulo2Car"/>
    <w:uiPriority w:val="9"/>
    <w:unhideWhenUsed/>
    <w:qFormat/>
    <w:rsid w:val="007E1D9A"/>
    <w:pPr>
      <w:keepNext/>
      <w:keepLines/>
      <w:spacing w:after="151" w:line="250" w:lineRule="auto"/>
      <w:ind w:left="637" w:hanging="10"/>
      <w:outlineLvl w:val="1"/>
    </w:pPr>
    <w:rPr>
      <w:rFonts w:ascii="Arial" w:eastAsia="Arial" w:hAnsi="Arial" w:cs="Arial"/>
      <w:b/>
      <w:sz w:val="24"/>
      <w:szCs w:val="22"/>
      <w:u w:color="000000"/>
    </w:rPr>
  </w:style>
  <w:style w:type="paragraph" w:styleId="Ttulo3">
    <w:name w:val="heading 3"/>
    <w:basedOn w:val="Normal"/>
    <w:next w:val="Normal"/>
    <w:link w:val="Ttulo3Car"/>
    <w:uiPriority w:val="9"/>
    <w:semiHidden/>
    <w:unhideWhenUsed/>
    <w:qFormat/>
    <w:rsid w:val="00E4216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0"/>
    </w:rPr>
  </w:style>
  <w:style w:type="paragraph" w:styleId="Sinespaciado">
    <w:name w:val="No Spacing"/>
    <w:qFormat/>
    <w:rPr>
      <w:rFonts w:ascii="Times New Roman" w:hAnsi="Times New Roman"/>
      <w:sz w:val="24"/>
    </w:rPr>
  </w:style>
  <w:style w:type="paragraph" w:customStyle="1" w:styleId="Standard">
    <w:name w:val="Standard"/>
    <w:rPr>
      <w:rFonts w:ascii="Times New Roman" w:hAnsi="Times New Roman"/>
    </w:rPr>
  </w:style>
  <w:style w:type="paragraph" w:styleId="Textodeglobo">
    <w:name w:val="Balloon Text"/>
    <w:basedOn w:val="Normal"/>
    <w:link w:val="TextodegloboCar"/>
    <w:rPr>
      <w:rFonts w:ascii="Tahoma" w:hAnsi="Tahoma"/>
      <w:sz w:val="16"/>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lnea">
    <w:name w:val="line number"/>
    <w:basedOn w:val="Fuentedeprrafopredeter"/>
    <w:semiHidden/>
  </w:style>
  <w:style w:type="character" w:styleId="Hipervnculo">
    <w:name w:val="Hyperlink"/>
    <w:uiPriority w:val="99"/>
    <w:rPr>
      <w:color w:val="0000FF"/>
      <w:u w:val="single"/>
    </w:rPr>
  </w:style>
  <w:style w:type="character" w:customStyle="1" w:styleId="TextoindependienteCar">
    <w:name w:val="Texto independiente Car"/>
    <w:link w:val="Textoindependiente"/>
    <w:rPr>
      <w:rFonts w:ascii="Arial" w:hAnsi="Arial"/>
      <w:sz w:val="20"/>
    </w:rPr>
  </w:style>
  <w:style w:type="character" w:customStyle="1" w:styleId="Fuentedeprrafopredeter0">
    <w:name w:val="Fuente de párrafo predeter"/>
  </w:style>
  <w:style w:type="character" w:customStyle="1" w:styleId="TextodegloboCar">
    <w:name w:val="Texto de globo Car"/>
    <w:link w:val="Textodeglobo"/>
    <w:rPr>
      <w:rFonts w:ascii="Tahoma" w:hAnsi="Tahoma"/>
      <w:sz w:val="16"/>
    </w:rPr>
  </w:style>
  <w:style w:type="character" w:customStyle="1" w:styleId="EncabezadoCar">
    <w:name w:val="Encabezado Car"/>
    <w:link w:val="Encabezado"/>
    <w:uiPriority w:val="99"/>
  </w:style>
  <w:style w:type="character" w:customStyle="1" w:styleId="PiedepginaCar">
    <w:name w:val="Pie de página Car"/>
    <w:link w:val="Piedepgina"/>
  </w:style>
  <w:style w:type="character" w:styleId="Nmerodepgina">
    <w:name w:val="page numbe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75" w:type="dxa"/>
        <w:bottom w:w="0" w:type="dxa"/>
        <w:right w:w="75" w:type="dxa"/>
      </w:tblCellMar>
    </w:tblPr>
  </w:style>
  <w:style w:type="table" w:styleId="Tablaconcuadrcula">
    <w:name w:val="Table Grid"/>
    <w:basedOn w:val="Tablanormal"/>
    <w:uiPriority w:val="3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Bullet List,FooterText,List Paragraph1,numbered,Paragraphe de liste1,Bulletr List Paragraph,Foot,列出段落,列出段落1,List Paragraph2,List Paragraph21,Párrafo de lista1,Parágrafo da Lista1,リスト段落1,Listeafsnit1"/>
    <w:basedOn w:val="Normal"/>
    <w:link w:val="PrrafodelistaCar"/>
    <w:uiPriority w:val="34"/>
    <w:qFormat/>
    <w:rsid w:val="00B14B0E"/>
    <w:pPr>
      <w:ind w:left="720"/>
      <w:contextualSpacing/>
      <w:jc w:val="both"/>
    </w:pPr>
    <w:rPr>
      <w:rFonts w:cs="Tahoma"/>
      <w:bCs/>
      <w:color w:val="auto"/>
      <w:szCs w:val="24"/>
      <w:lang w:eastAsia="es-ES"/>
    </w:rPr>
  </w:style>
  <w:style w:type="paragraph" w:customStyle="1" w:styleId="Default">
    <w:name w:val="Default"/>
    <w:rsid w:val="00B14B0E"/>
    <w:pPr>
      <w:autoSpaceDE w:val="0"/>
      <w:autoSpaceDN w:val="0"/>
      <w:adjustRightInd w:val="0"/>
    </w:pPr>
    <w:rPr>
      <w:rFonts w:ascii="Zurich Lt BT" w:eastAsia="Calibri" w:hAnsi="Zurich Lt BT" w:cs="Zurich Lt BT"/>
      <w:sz w:val="24"/>
      <w:szCs w:val="24"/>
    </w:rPr>
  </w:style>
  <w:style w:type="paragraph" w:customStyle="1" w:styleId="TablaBoris">
    <w:name w:val="Tabla Boris"/>
    <w:basedOn w:val="Normal"/>
    <w:rsid w:val="00B14B0E"/>
    <w:pPr>
      <w:spacing w:before="60" w:after="60"/>
      <w:jc w:val="both"/>
    </w:pPr>
    <w:rPr>
      <w:color w:val="auto"/>
      <w:sz w:val="16"/>
      <w:szCs w:val="16"/>
      <w:lang w:eastAsia="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árrafo de lista1 Car,Parágrafo da Lista1 Car"/>
    <w:link w:val="Prrafodelista"/>
    <w:uiPriority w:val="34"/>
    <w:locked/>
    <w:rsid w:val="00B14B0E"/>
    <w:rPr>
      <w:rFonts w:ascii="Arial" w:hAnsi="Arial" w:cs="Tahoma"/>
      <w:bCs/>
      <w:color w:val="auto"/>
      <w:sz w:val="22"/>
      <w:szCs w:val="24"/>
      <w:lang w:eastAsia="es-ES"/>
    </w:rPr>
  </w:style>
  <w:style w:type="paragraph" w:styleId="NormalWeb">
    <w:name w:val="Normal (Web)"/>
    <w:basedOn w:val="Normal"/>
    <w:uiPriority w:val="99"/>
    <w:rsid w:val="00085B93"/>
    <w:pPr>
      <w:spacing w:before="100" w:beforeAutospacing="1" w:after="100" w:afterAutospacing="1"/>
    </w:pPr>
  </w:style>
  <w:style w:type="character" w:customStyle="1" w:styleId="Ttulo2Car">
    <w:name w:val="Título 2 Car"/>
    <w:basedOn w:val="Fuentedeprrafopredeter"/>
    <w:link w:val="Ttulo2"/>
    <w:uiPriority w:val="9"/>
    <w:rsid w:val="007E1D9A"/>
    <w:rPr>
      <w:rFonts w:ascii="Arial" w:eastAsia="Arial" w:hAnsi="Arial" w:cs="Arial"/>
      <w:b/>
      <w:sz w:val="24"/>
      <w:szCs w:val="22"/>
      <w:u w:color="000000"/>
    </w:rPr>
  </w:style>
  <w:style w:type="character" w:styleId="Refdecomentario">
    <w:name w:val="annotation reference"/>
    <w:basedOn w:val="Fuentedeprrafopredeter"/>
    <w:uiPriority w:val="99"/>
    <w:semiHidden/>
    <w:unhideWhenUsed/>
    <w:rsid w:val="008476F0"/>
    <w:rPr>
      <w:sz w:val="16"/>
      <w:szCs w:val="16"/>
    </w:rPr>
  </w:style>
  <w:style w:type="paragraph" w:styleId="Textocomentario">
    <w:name w:val="annotation text"/>
    <w:basedOn w:val="Normal"/>
    <w:link w:val="TextocomentarioCar"/>
    <w:uiPriority w:val="99"/>
    <w:unhideWhenUsed/>
    <w:rsid w:val="008476F0"/>
    <w:pPr>
      <w:spacing w:after="5"/>
      <w:ind w:left="399" w:hanging="10"/>
      <w:jc w:val="both"/>
    </w:pPr>
    <w:rPr>
      <w:rFonts w:eastAsia="Arial" w:cs="Arial"/>
      <w:sz w:val="20"/>
    </w:rPr>
  </w:style>
  <w:style w:type="character" w:customStyle="1" w:styleId="TextocomentarioCar">
    <w:name w:val="Texto comentario Car"/>
    <w:basedOn w:val="Fuentedeprrafopredeter"/>
    <w:link w:val="Textocomentario"/>
    <w:uiPriority w:val="99"/>
    <w:rsid w:val="008476F0"/>
    <w:rPr>
      <w:rFonts w:ascii="Arial" w:eastAsia="Arial" w:hAnsi="Arial" w:cs="Arial"/>
      <w:sz w:val="20"/>
    </w:rPr>
  </w:style>
  <w:style w:type="character" w:customStyle="1" w:styleId="Ttulo3Car">
    <w:name w:val="Título 3 Car"/>
    <w:basedOn w:val="Fuentedeprrafopredeter"/>
    <w:link w:val="Ttulo3"/>
    <w:uiPriority w:val="9"/>
    <w:semiHidden/>
    <w:rsid w:val="00E4216B"/>
    <w:rPr>
      <w:rFonts w:asciiTheme="majorHAnsi" w:eastAsiaTheme="majorEastAsia" w:hAnsiTheme="majorHAnsi" w:cstheme="majorBidi"/>
      <w:color w:val="243F60" w:themeColor="accent1" w:themeShade="7F"/>
      <w:sz w:val="24"/>
      <w:szCs w:val="24"/>
    </w:rPr>
  </w:style>
  <w:style w:type="character" w:customStyle="1" w:styleId="Ttulo1Car">
    <w:name w:val="Título 1 Car"/>
    <w:basedOn w:val="Fuentedeprrafopredeter"/>
    <w:link w:val="Ttulo1"/>
    <w:uiPriority w:val="9"/>
    <w:rsid w:val="00CE04B0"/>
    <w:rPr>
      <w:rFonts w:ascii="Arial" w:eastAsiaTheme="majorEastAsia" w:hAnsi="Arial" w:cstheme="majorBidi"/>
      <w:b/>
      <w:color w:val="auto"/>
      <w:sz w:val="28"/>
      <w:szCs w:val="32"/>
    </w:rPr>
  </w:style>
  <w:style w:type="paragraph" w:customStyle="1" w:styleId="ms-rteelement-parrafo">
    <w:name w:val="ms-rteelement-parrafo"/>
    <w:basedOn w:val="Normal"/>
    <w:rsid w:val="005E5779"/>
    <w:pPr>
      <w:spacing w:before="100" w:beforeAutospacing="1" w:after="100" w:afterAutospacing="1"/>
    </w:pPr>
    <w:rPr>
      <w:color w:val="auto"/>
      <w:szCs w:val="24"/>
    </w:rPr>
  </w:style>
  <w:style w:type="table" w:customStyle="1" w:styleId="TableNormal">
    <w:name w:val="Table Normal"/>
    <w:uiPriority w:val="2"/>
    <w:semiHidden/>
    <w:unhideWhenUsed/>
    <w:qFormat/>
    <w:rsid w:val="00F7266A"/>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F7266A"/>
    <w:pPr>
      <w:widowControl w:val="0"/>
      <w:autoSpaceDE w:val="0"/>
      <w:autoSpaceDN w:val="0"/>
      <w:ind w:left="435" w:right="886"/>
      <w:jc w:val="center"/>
    </w:pPr>
    <w:rPr>
      <w:rFonts w:eastAsia="Arial" w:cs="Arial"/>
      <w:color w:val="auto"/>
      <w:sz w:val="28"/>
      <w:szCs w:val="28"/>
      <w:lang w:val="es-ES" w:eastAsia="en-US"/>
    </w:rPr>
  </w:style>
  <w:style w:type="character" w:customStyle="1" w:styleId="TtuloCar">
    <w:name w:val="Título Car"/>
    <w:basedOn w:val="Fuentedeprrafopredeter"/>
    <w:link w:val="Ttulo"/>
    <w:uiPriority w:val="1"/>
    <w:rsid w:val="00F7266A"/>
    <w:rPr>
      <w:rFonts w:ascii="Arial" w:eastAsia="Arial" w:hAnsi="Arial" w:cs="Arial"/>
      <w:color w:val="auto"/>
      <w:sz w:val="28"/>
      <w:szCs w:val="28"/>
      <w:lang w:val="es-ES" w:eastAsia="en-US"/>
    </w:rPr>
  </w:style>
  <w:style w:type="paragraph" w:customStyle="1" w:styleId="TableParagraph">
    <w:name w:val="Table Paragraph"/>
    <w:basedOn w:val="Normal"/>
    <w:uiPriority w:val="1"/>
    <w:qFormat/>
    <w:rsid w:val="00F7266A"/>
    <w:pPr>
      <w:widowControl w:val="0"/>
      <w:autoSpaceDE w:val="0"/>
      <w:autoSpaceDN w:val="0"/>
    </w:pPr>
    <w:rPr>
      <w:rFonts w:eastAsia="Arial" w:cs="Arial"/>
      <w:color w:val="auto"/>
      <w:szCs w:val="22"/>
      <w:lang w:val="es-ES" w:eastAsia="en-US"/>
    </w:rPr>
  </w:style>
  <w:style w:type="paragraph" w:styleId="Asuntodelcomentario">
    <w:name w:val="annotation subject"/>
    <w:basedOn w:val="Textocomentario"/>
    <w:next w:val="Textocomentario"/>
    <w:link w:val="AsuntodelcomentarioCar"/>
    <w:uiPriority w:val="99"/>
    <w:semiHidden/>
    <w:unhideWhenUsed/>
    <w:rsid w:val="00D02B1B"/>
    <w:pPr>
      <w:spacing w:after="0"/>
      <w:ind w:left="0" w:firstLine="0"/>
      <w:jc w:val="left"/>
    </w:pPr>
    <w:rPr>
      <w:rFonts w:ascii="Times New Roman" w:eastAsia="Times New Roman" w:hAnsi="Times New Roman" w:cs="Times New Roman"/>
      <w:b/>
      <w:bCs/>
    </w:rPr>
  </w:style>
  <w:style w:type="character" w:customStyle="1" w:styleId="AsuntodelcomentarioCar">
    <w:name w:val="Asunto del comentario Car"/>
    <w:basedOn w:val="TextocomentarioCar"/>
    <w:link w:val="Asuntodelcomentario"/>
    <w:uiPriority w:val="99"/>
    <w:semiHidden/>
    <w:rsid w:val="00D02B1B"/>
    <w:rPr>
      <w:rFonts w:ascii="Times New Roman" w:eastAsia="Arial" w:hAnsi="Times New Roman" w:cs="Arial"/>
      <w:b/>
      <w:bCs/>
      <w:sz w:val="20"/>
    </w:rPr>
  </w:style>
  <w:style w:type="character" w:styleId="Textoennegrita">
    <w:name w:val="Strong"/>
    <w:basedOn w:val="Fuentedeprrafopredeter"/>
    <w:uiPriority w:val="22"/>
    <w:qFormat/>
    <w:rsid w:val="004C3079"/>
    <w:rPr>
      <w:b/>
      <w:bCs/>
    </w:rPr>
  </w:style>
  <w:style w:type="paragraph" w:customStyle="1" w:styleId="centrado">
    <w:name w:val="centrado"/>
    <w:basedOn w:val="Normal"/>
    <w:rsid w:val="00F05625"/>
    <w:pPr>
      <w:spacing w:before="100" w:beforeAutospacing="1" w:after="100" w:afterAutospacing="1"/>
    </w:pPr>
    <w:rPr>
      <w:color w:val="auto"/>
      <w:szCs w:val="24"/>
    </w:rPr>
  </w:style>
  <w:style w:type="character" w:customStyle="1" w:styleId="baj">
    <w:name w:val="b_aj"/>
    <w:basedOn w:val="Fuentedeprrafopredeter"/>
    <w:rsid w:val="00F05625"/>
  </w:style>
  <w:style w:type="character" w:customStyle="1" w:styleId="iaj">
    <w:name w:val="i_aj"/>
    <w:basedOn w:val="Fuentedeprrafopredeter"/>
    <w:rsid w:val="00072F3B"/>
  </w:style>
  <w:style w:type="paragraph" w:styleId="Descripcin">
    <w:name w:val="caption"/>
    <w:basedOn w:val="Normal"/>
    <w:next w:val="Normal"/>
    <w:uiPriority w:val="35"/>
    <w:unhideWhenUsed/>
    <w:qFormat/>
    <w:rsid w:val="00B90CD6"/>
    <w:pPr>
      <w:spacing w:after="200"/>
    </w:pPr>
    <w:rPr>
      <w:i/>
      <w:iCs/>
      <w:color w:val="1F497D" w:themeColor="text2"/>
      <w:sz w:val="18"/>
      <w:szCs w:val="18"/>
    </w:rPr>
  </w:style>
  <w:style w:type="paragraph" w:styleId="TtuloTDC">
    <w:name w:val="TOC Heading"/>
    <w:basedOn w:val="Ttulo1"/>
    <w:next w:val="Normal"/>
    <w:uiPriority w:val="39"/>
    <w:unhideWhenUsed/>
    <w:qFormat/>
    <w:rsid w:val="00B406EB"/>
    <w:pPr>
      <w:spacing w:line="259" w:lineRule="auto"/>
      <w:outlineLvl w:val="9"/>
    </w:pPr>
  </w:style>
  <w:style w:type="paragraph" w:styleId="TDC1">
    <w:name w:val="toc 1"/>
    <w:basedOn w:val="Normal"/>
    <w:next w:val="Normal"/>
    <w:autoRedefine/>
    <w:uiPriority w:val="39"/>
    <w:unhideWhenUsed/>
    <w:rsid w:val="00B406EB"/>
    <w:pPr>
      <w:spacing w:after="100"/>
    </w:pPr>
  </w:style>
  <w:style w:type="paragraph" w:styleId="Textonotapie">
    <w:name w:val="footnote text"/>
    <w:basedOn w:val="Normal"/>
    <w:link w:val="TextonotapieCar"/>
    <w:uiPriority w:val="99"/>
    <w:semiHidden/>
    <w:unhideWhenUsed/>
    <w:rsid w:val="0097135B"/>
    <w:rPr>
      <w:sz w:val="20"/>
    </w:rPr>
  </w:style>
  <w:style w:type="character" w:customStyle="1" w:styleId="TextonotapieCar">
    <w:name w:val="Texto nota pie Car"/>
    <w:basedOn w:val="Fuentedeprrafopredeter"/>
    <w:link w:val="Textonotapie"/>
    <w:uiPriority w:val="99"/>
    <w:semiHidden/>
    <w:rsid w:val="0097135B"/>
    <w:rPr>
      <w:rFonts w:ascii="Times New Roman" w:hAnsi="Times New Roman"/>
      <w:sz w:val="20"/>
    </w:rPr>
  </w:style>
  <w:style w:type="character" w:styleId="Refdenotaalpie">
    <w:name w:val="footnote reference"/>
    <w:basedOn w:val="Fuentedeprrafopredeter"/>
    <w:uiPriority w:val="99"/>
    <w:semiHidden/>
    <w:unhideWhenUsed/>
    <w:rsid w:val="0097135B"/>
    <w:rPr>
      <w:vertAlign w:val="superscript"/>
    </w:rPr>
  </w:style>
  <w:style w:type="paragraph" w:styleId="Revisin">
    <w:name w:val="Revision"/>
    <w:hidden/>
    <w:uiPriority w:val="99"/>
    <w:semiHidden/>
    <w:rsid w:val="00EC0041"/>
    <w:rPr>
      <w:rFonts w:ascii="Times New Roman" w:hAnsi="Times New Roman"/>
      <w:sz w:val="24"/>
    </w:rPr>
  </w:style>
  <w:style w:type="character" w:styleId="Textodelmarcadordeposicin">
    <w:name w:val="Placeholder Text"/>
    <w:basedOn w:val="Fuentedeprrafopredeter"/>
    <w:uiPriority w:val="99"/>
    <w:semiHidden/>
    <w:rsid w:val="00247B44"/>
    <w:rPr>
      <w:color w:val="808080"/>
    </w:rPr>
  </w:style>
  <w:style w:type="paragraph" w:styleId="TDC2">
    <w:name w:val="toc 2"/>
    <w:basedOn w:val="Normal"/>
    <w:next w:val="Normal"/>
    <w:autoRedefine/>
    <w:uiPriority w:val="39"/>
    <w:unhideWhenUsed/>
    <w:rsid w:val="00FD7836"/>
    <w:pPr>
      <w:spacing w:after="100"/>
      <w:ind w:left="220"/>
    </w:pPr>
  </w:style>
  <w:style w:type="character" w:styleId="Mencinsinresolver">
    <w:name w:val="Unresolved Mention"/>
    <w:basedOn w:val="Fuentedeprrafopredeter"/>
    <w:uiPriority w:val="99"/>
    <w:semiHidden/>
    <w:unhideWhenUsed/>
    <w:rsid w:val="0036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975">
      <w:bodyDiv w:val="1"/>
      <w:marLeft w:val="0"/>
      <w:marRight w:val="0"/>
      <w:marTop w:val="0"/>
      <w:marBottom w:val="0"/>
      <w:divBdr>
        <w:top w:val="none" w:sz="0" w:space="0" w:color="auto"/>
        <w:left w:val="none" w:sz="0" w:space="0" w:color="auto"/>
        <w:bottom w:val="none" w:sz="0" w:space="0" w:color="auto"/>
        <w:right w:val="none" w:sz="0" w:space="0" w:color="auto"/>
      </w:divBdr>
    </w:div>
    <w:div w:id="116460244">
      <w:bodyDiv w:val="1"/>
      <w:marLeft w:val="0"/>
      <w:marRight w:val="0"/>
      <w:marTop w:val="0"/>
      <w:marBottom w:val="0"/>
      <w:divBdr>
        <w:top w:val="none" w:sz="0" w:space="0" w:color="auto"/>
        <w:left w:val="none" w:sz="0" w:space="0" w:color="auto"/>
        <w:bottom w:val="none" w:sz="0" w:space="0" w:color="auto"/>
        <w:right w:val="none" w:sz="0" w:space="0" w:color="auto"/>
      </w:divBdr>
    </w:div>
    <w:div w:id="239560635">
      <w:bodyDiv w:val="1"/>
      <w:marLeft w:val="0"/>
      <w:marRight w:val="0"/>
      <w:marTop w:val="0"/>
      <w:marBottom w:val="0"/>
      <w:divBdr>
        <w:top w:val="none" w:sz="0" w:space="0" w:color="auto"/>
        <w:left w:val="none" w:sz="0" w:space="0" w:color="auto"/>
        <w:bottom w:val="none" w:sz="0" w:space="0" w:color="auto"/>
        <w:right w:val="none" w:sz="0" w:space="0" w:color="auto"/>
      </w:divBdr>
      <w:divsChild>
        <w:div w:id="860246572">
          <w:marLeft w:val="640"/>
          <w:marRight w:val="0"/>
          <w:marTop w:val="0"/>
          <w:marBottom w:val="0"/>
          <w:divBdr>
            <w:top w:val="none" w:sz="0" w:space="0" w:color="auto"/>
            <w:left w:val="none" w:sz="0" w:space="0" w:color="auto"/>
            <w:bottom w:val="none" w:sz="0" w:space="0" w:color="auto"/>
            <w:right w:val="none" w:sz="0" w:space="0" w:color="auto"/>
          </w:divBdr>
        </w:div>
        <w:div w:id="126168396">
          <w:marLeft w:val="640"/>
          <w:marRight w:val="0"/>
          <w:marTop w:val="0"/>
          <w:marBottom w:val="0"/>
          <w:divBdr>
            <w:top w:val="none" w:sz="0" w:space="0" w:color="auto"/>
            <w:left w:val="none" w:sz="0" w:space="0" w:color="auto"/>
            <w:bottom w:val="none" w:sz="0" w:space="0" w:color="auto"/>
            <w:right w:val="none" w:sz="0" w:space="0" w:color="auto"/>
          </w:divBdr>
        </w:div>
        <w:div w:id="1660381882">
          <w:marLeft w:val="640"/>
          <w:marRight w:val="0"/>
          <w:marTop w:val="0"/>
          <w:marBottom w:val="0"/>
          <w:divBdr>
            <w:top w:val="none" w:sz="0" w:space="0" w:color="auto"/>
            <w:left w:val="none" w:sz="0" w:space="0" w:color="auto"/>
            <w:bottom w:val="none" w:sz="0" w:space="0" w:color="auto"/>
            <w:right w:val="none" w:sz="0" w:space="0" w:color="auto"/>
          </w:divBdr>
        </w:div>
      </w:divsChild>
    </w:div>
    <w:div w:id="259025094">
      <w:bodyDiv w:val="1"/>
      <w:marLeft w:val="0"/>
      <w:marRight w:val="0"/>
      <w:marTop w:val="0"/>
      <w:marBottom w:val="0"/>
      <w:divBdr>
        <w:top w:val="none" w:sz="0" w:space="0" w:color="auto"/>
        <w:left w:val="none" w:sz="0" w:space="0" w:color="auto"/>
        <w:bottom w:val="none" w:sz="0" w:space="0" w:color="auto"/>
        <w:right w:val="none" w:sz="0" w:space="0" w:color="auto"/>
      </w:divBdr>
      <w:divsChild>
        <w:div w:id="336731395">
          <w:marLeft w:val="640"/>
          <w:marRight w:val="0"/>
          <w:marTop w:val="0"/>
          <w:marBottom w:val="0"/>
          <w:divBdr>
            <w:top w:val="none" w:sz="0" w:space="0" w:color="auto"/>
            <w:left w:val="none" w:sz="0" w:space="0" w:color="auto"/>
            <w:bottom w:val="none" w:sz="0" w:space="0" w:color="auto"/>
            <w:right w:val="none" w:sz="0" w:space="0" w:color="auto"/>
          </w:divBdr>
        </w:div>
        <w:div w:id="158428557">
          <w:marLeft w:val="640"/>
          <w:marRight w:val="0"/>
          <w:marTop w:val="0"/>
          <w:marBottom w:val="0"/>
          <w:divBdr>
            <w:top w:val="none" w:sz="0" w:space="0" w:color="auto"/>
            <w:left w:val="none" w:sz="0" w:space="0" w:color="auto"/>
            <w:bottom w:val="none" w:sz="0" w:space="0" w:color="auto"/>
            <w:right w:val="none" w:sz="0" w:space="0" w:color="auto"/>
          </w:divBdr>
        </w:div>
        <w:div w:id="1950889880">
          <w:marLeft w:val="640"/>
          <w:marRight w:val="0"/>
          <w:marTop w:val="0"/>
          <w:marBottom w:val="0"/>
          <w:divBdr>
            <w:top w:val="none" w:sz="0" w:space="0" w:color="auto"/>
            <w:left w:val="none" w:sz="0" w:space="0" w:color="auto"/>
            <w:bottom w:val="none" w:sz="0" w:space="0" w:color="auto"/>
            <w:right w:val="none" w:sz="0" w:space="0" w:color="auto"/>
          </w:divBdr>
        </w:div>
        <w:div w:id="1452362784">
          <w:marLeft w:val="640"/>
          <w:marRight w:val="0"/>
          <w:marTop w:val="0"/>
          <w:marBottom w:val="0"/>
          <w:divBdr>
            <w:top w:val="none" w:sz="0" w:space="0" w:color="auto"/>
            <w:left w:val="none" w:sz="0" w:space="0" w:color="auto"/>
            <w:bottom w:val="none" w:sz="0" w:space="0" w:color="auto"/>
            <w:right w:val="none" w:sz="0" w:space="0" w:color="auto"/>
          </w:divBdr>
        </w:div>
        <w:div w:id="130752188">
          <w:marLeft w:val="640"/>
          <w:marRight w:val="0"/>
          <w:marTop w:val="0"/>
          <w:marBottom w:val="0"/>
          <w:divBdr>
            <w:top w:val="none" w:sz="0" w:space="0" w:color="auto"/>
            <w:left w:val="none" w:sz="0" w:space="0" w:color="auto"/>
            <w:bottom w:val="none" w:sz="0" w:space="0" w:color="auto"/>
            <w:right w:val="none" w:sz="0" w:space="0" w:color="auto"/>
          </w:divBdr>
        </w:div>
        <w:div w:id="745956323">
          <w:marLeft w:val="640"/>
          <w:marRight w:val="0"/>
          <w:marTop w:val="0"/>
          <w:marBottom w:val="0"/>
          <w:divBdr>
            <w:top w:val="none" w:sz="0" w:space="0" w:color="auto"/>
            <w:left w:val="none" w:sz="0" w:space="0" w:color="auto"/>
            <w:bottom w:val="none" w:sz="0" w:space="0" w:color="auto"/>
            <w:right w:val="none" w:sz="0" w:space="0" w:color="auto"/>
          </w:divBdr>
        </w:div>
      </w:divsChild>
    </w:div>
    <w:div w:id="267812821">
      <w:bodyDiv w:val="1"/>
      <w:marLeft w:val="0"/>
      <w:marRight w:val="0"/>
      <w:marTop w:val="0"/>
      <w:marBottom w:val="0"/>
      <w:divBdr>
        <w:top w:val="none" w:sz="0" w:space="0" w:color="auto"/>
        <w:left w:val="none" w:sz="0" w:space="0" w:color="auto"/>
        <w:bottom w:val="none" w:sz="0" w:space="0" w:color="auto"/>
        <w:right w:val="none" w:sz="0" w:space="0" w:color="auto"/>
      </w:divBdr>
    </w:div>
    <w:div w:id="317730273">
      <w:bodyDiv w:val="1"/>
      <w:marLeft w:val="0"/>
      <w:marRight w:val="0"/>
      <w:marTop w:val="0"/>
      <w:marBottom w:val="0"/>
      <w:divBdr>
        <w:top w:val="none" w:sz="0" w:space="0" w:color="auto"/>
        <w:left w:val="none" w:sz="0" w:space="0" w:color="auto"/>
        <w:bottom w:val="none" w:sz="0" w:space="0" w:color="auto"/>
        <w:right w:val="none" w:sz="0" w:space="0" w:color="auto"/>
      </w:divBdr>
    </w:div>
    <w:div w:id="343169951">
      <w:bodyDiv w:val="1"/>
      <w:marLeft w:val="0"/>
      <w:marRight w:val="0"/>
      <w:marTop w:val="0"/>
      <w:marBottom w:val="0"/>
      <w:divBdr>
        <w:top w:val="none" w:sz="0" w:space="0" w:color="auto"/>
        <w:left w:val="none" w:sz="0" w:space="0" w:color="auto"/>
        <w:bottom w:val="none" w:sz="0" w:space="0" w:color="auto"/>
        <w:right w:val="none" w:sz="0" w:space="0" w:color="auto"/>
      </w:divBdr>
    </w:div>
    <w:div w:id="395514592">
      <w:bodyDiv w:val="1"/>
      <w:marLeft w:val="0"/>
      <w:marRight w:val="0"/>
      <w:marTop w:val="0"/>
      <w:marBottom w:val="0"/>
      <w:divBdr>
        <w:top w:val="none" w:sz="0" w:space="0" w:color="auto"/>
        <w:left w:val="none" w:sz="0" w:space="0" w:color="auto"/>
        <w:bottom w:val="none" w:sz="0" w:space="0" w:color="auto"/>
        <w:right w:val="none" w:sz="0" w:space="0" w:color="auto"/>
      </w:divBdr>
      <w:divsChild>
        <w:div w:id="915090159">
          <w:marLeft w:val="640"/>
          <w:marRight w:val="0"/>
          <w:marTop w:val="0"/>
          <w:marBottom w:val="0"/>
          <w:divBdr>
            <w:top w:val="none" w:sz="0" w:space="0" w:color="auto"/>
            <w:left w:val="none" w:sz="0" w:space="0" w:color="auto"/>
            <w:bottom w:val="none" w:sz="0" w:space="0" w:color="auto"/>
            <w:right w:val="none" w:sz="0" w:space="0" w:color="auto"/>
          </w:divBdr>
        </w:div>
        <w:div w:id="391007084">
          <w:marLeft w:val="640"/>
          <w:marRight w:val="0"/>
          <w:marTop w:val="0"/>
          <w:marBottom w:val="0"/>
          <w:divBdr>
            <w:top w:val="none" w:sz="0" w:space="0" w:color="auto"/>
            <w:left w:val="none" w:sz="0" w:space="0" w:color="auto"/>
            <w:bottom w:val="none" w:sz="0" w:space="0" w:color="auto"/>
            <w:right w:val="none" w:sz="0" w:space="0" w:color="auto"/>
          </w:divBdr>
        </w:div>
      </w:divsChild>
    </w:div>
    <w:div w:id="464083724">
      <w:bodyDiv w:val="1"/>
      <w:marLeft w:val="0"/>
      <w:marRight w:val="0"/>
      <w:marTop w:val="0"/>
      <w:marBottom w:val="0"/>
      <w:divBdr>
        <w:top w:val="none" w:sz="0" w:space="0" w:color="auto"/>
        <w:left w:val="none" w:sz="0" w:space="0" w:color="auto"/>
        <w:bottom w:val="none" w:sz="0" w:space="0" w:color="auto"/>
        <w:right w:val="none" w:sz="0" w:space="0" w:color="auto"/>
      </w:divBdr>
      <w:divsChild>
        <w:div w:id="389691767">
          <w:marLeft w:val="0"/>
          <w:marRight w:val="0"/>
          <w:marTop w:val="0"/>
          <w:marBottom w:val="0"/>
          <w:divBdr>
            <w:top w:val="none" w:sz="0" w:space="0" w:color="auto"/>
            <w:left w:val="none" w:sz="0" w:space="0" w:color="auto"/>
            <w:bottom w:val="none" w:sz="0" w:space="0" w:color="auto"/>
            <w:right w:val="none" w:sz="0" w:space="0" w:color="auto"/>
          </w:divBdr>
        </w:div>
      </w:divsChild>
    </w:div>
    <w:div w:id="684284783">
      <w:bodyDiv w:val="1"/>
      <w:marLeft w:val="0"/>
      <w:marRight w:val="0"/>
      <w:marTop w:val="0"/>
      <w:marBottom w:val="0"/>
      <w:divBdr>
        <w:top w:val="none" w:sz="0" w:space="0" w:color="auto"/>
        <w:left w:val="none" w:sz="0" w:space="0" w:color="auto"/>
        <w:bottom w:val="none" w:sz="0" w:space="0" w:color="auto"/>
        <w:right w:val="none" w:sz="0" w:space="0" w:color="auto"/>
      </w:divBdr>
    </w:div>
    <w:div w:id="708651942">
      <w:bodyDiv w:val="1"/>
      <w:marLeft w:val="0"/>
      <w:marRight w:val="0"/>
      <w:marTop w:val="0"/>
      <w:marBottom w:val="0"/>
      <w:divBdr>
        <w:top w:val="none" w:sz="0" w:space="0" w:color="auto"/>
        <w:left w:val="none" w:sz="0" w:space="0" w:color="auto"/>
        <w:bottom w:val="none" w:sz="0" w:space="0" w:color="auto"/>
        <w:right w:val="none" w:sz="0" w:space="0" w:color="auto"/>
      </w:divBdr>
    </w:div>
    <w:div w:id="708801613">
      <w:bodyDiv w:val="1"/>
      <w:marLeft w:val="0"/>
      <w:marRight w:val="0"/>
      <w:marTop w:val="0"/>
      <w:marBottom w:val="0"/>
      <w:divBdr>
        <w:top w:val="none" w:sz="0" w:space="0" w:color="auto"/>
        <w:left w:val="none" w:sz="0" w:space="0" w:color="auto"/>
        <w:bottom w:val="none" w:sz="0" w:space="0" w:color="auto"/>
        <w:right w:val="none" w:sz="0" w:space="0" w:color="auto"/>
      </w:divBdr>
    </w:div>
    <w:div w:id="710616091">
      <w:bodyDiv w:val="1"/>
      <w:marLeft w:val="0"/>
      <w:marRight w:val="0"/>
      <w:marTop w:val="0"/>
      <w:marBottom w:val="0"/>
      <w:divBdr>
        <w:top w:val="none" w:sz="0" w:space="0" w:color="auto"/>
        <w:left w:val="none" w:sz="0" w:space="0" w:color="auto"/>
        <w:bottom w:val="none" w:sz="0" w:space="0" w:color="auto"/>
        <w:right w:val="none" w:sz="0" w:space="0" w:color="auto"/>
      </w:divBdr>
    </w:div>
    <w:div w:id="751972926">
      <w:bodyDiv w:val="1"/>
      <w:marLeft w:val="0"/>
      <w:marRight w:val="0"/>
      <w:marTop w:val="0"/>
      <w:marBottom w:val="0"/>
      <w:divBdr>
        <w:top w:val="none" w:sz="0" w:space="0" w:color="auto"/>
        <w:left w:val="none" w:sz="0" w:space="0" w:color="auto"/>
        <w:bottom w:val="none" w:sz="0" w:space="0" w:color="auto"/>
        <w:right w:val="none" w:sz="0" w:space="0" w:color="auto"/>
      </w:divBdr>
    </w:div>
    <w:div w:id="763722821">
      <w:bodyDiv w:val="1"/>
      <w:marLeft w:val="0"/>
      <w:marRight w:val="0"/>
      <w:marTop w:val="0"/>
      <w:marBottom w:val="0"/>
      <w:divBdr>
        <w:top w:val="none" w:sz="0" w:space="0" w:color="auto"/>
        <w:left w:val="none" w:sz="0" w:space="0" w:color="auto"/>
        <w:bottom w:val="none" w:sz="0" w:space="0" w:color="auto"/>
        <w:right w:val="none" w:sz="0" w:space="0" w:color="auto"/>
      </w:divBdr>
      <w:divsChild>
        <w:div w:id="525562404">
          <w:marLeft w:val="640"/>
          <w:marRight w:val="0"/>
          <w:marTop w:val="0"/>
          <w:marBottom w:val="0"/>
          <w:divBdr>
            <w:top w:val="none" w:sz="0" w:space="0" w:color="auto"/>
            <w:left w:val="none" w:sz="0" w:space="0" w:color="auto"/>
            <w:bottom w:val="none" w:sz="0" w:space="0" w:color="auto"/>
            <w:right w:val="none" w:sz="0" w:space="0" w:color="auto"/>
          </w:divBdr>
        </w:div>
        <w:div w:id="1788500388">
          <w:marLeft w:val="640"/>
          <w:marRight w:val="0"/>
          <w:marTop w:val="0"/>
          <w:marBottom w:val="0"/>
          <w:divBdr>
            <w:top w:val="none" w:sz="0" w:space="0" w:color="auto"/>
            <w:left w:val="none" w:sz="0" w:space="0" w:color="auto"/>
            <w:bottom w:val="none" w:sz="0" w:space="0" w:color="auto"/>
            <w:right w:val="none" w:sz="0" w:space="0" w:color="auto"/>
          </w:divBdr>
        </w:div>
        <w:div w:id="504322832">
          <w:marLeft w:val="640"/>
          <w:marRight w:val="0"/>
          <w:marTop w:val="0"/>
          <w:marBottom w:val="0"/>
          <w:divBdr>
            <w:top w:val="none" w:sz="0" w:space="0" w:color="auto"/>
            <w:left w:val="none" w:sz="0" w:space="0" w:color="auto"/>
            <w:bottom w:val="none" w:sz="0" w:space="0" w:color="auto"/>
            <w:right w:val="none" w:sz="0" w:space="0" w:color="auto"/>
          </w:divBdr>
        </w:div>
        <w:div w:id="400294036">
          <w:marLeft w:val="640"/>
          <w:marRight w:val="0"/>
          <w:marTop w:val="0"/>
          <w:marBottom w:val="0"/>
          <w:divBdr>
            <w:top w:val="none" w:sz="0" w:space="0" w:color="auto"/>
            <w:left w:val="none" w:sz="0" w:space="0" w:color="auto"/>
            <w:bottom w:val="none" w:sz="0" w:space="0" w:color="auto"/>
            <w:right w:val="none" w:sz="0" w:space="0" w:color="auto"/>
          </w:divBdr>
        </w:div>
      </w:divsChild>
    </w:div>
    <w:div w:id="783961660">
      <w:bodyDiv w:val="1"/>
      <w:marLeft w:val="0"/>
      <w:marRight w:val="0"/>
      <w:marTop w:val="0"/>
      <w:marBottom w:val="0"/>
      <w:divBdr>
        <w:top w:val="none" w:sz="0" w:space="0" w:color="auto"/>
        <w:left w:val="none" w:sz="0" w:space="0" w:color="auto"/>
        <w:bottom w:val="none" w:sz="0" w:space="0" w:color="auto"/>
        <w:right w:val="none" w:sz="0" w:space="0" w:color="auto"/>
      </w:divBdr>
    </w:div>
    <w:div w:id="787970485">
      <w:bodyDiv w:val="1"/>
      <w:marLeft w:val="0"/>
      <w:marRight w:val="0"/>
      <w:marTop w:val="0"/>
      <w:marBottom w:val="0"/>
      <w:divBdr>
        <w:top w:val="none" w:sz="0" w:space="0" w:color="auto"/>
        <w:left w:val="none" w:sz="0" w:space="0" w:color="auto"/>
        <w:bottom w:val="none" w:sz="0" w:space="0" w:color="auto"/>
        <w:right w:val="none" w:sz="0" w:space="0" w:color="auto"/>
      </w:divBdr>
      <w:divsChild>
        <w:div w:id="46148375">
          <w:marLeft w:val="0"/>
          <w:marRight w:val="0"/>
          <w:marTop w:val="0"/>
          <w:marBottom w:val="0"/>
          <w:divBdr>
            <w:top w:val="none" w:sz="0" w:space="0" w:color="auto"/>
            <w:left w:val="none" w:sz="0" w:space="0" w:color="auto"/>
            <w:bottom w:val="none" w:sz="0" w:space="0" w:color="auto"/>
            <w:right w:val="none" w:sz="0" w:space="0" w:color="auto"/>
          </w:divBdr>
        </w:div>
        <w:div w:id="83502393">
          <w:marLeft w:val="0"/>
          <w:marRight w:val="0"/>
          <w:marTop w:val="0"/>
          <w:marBottom w:val="0"/>
          <w:divBdr>
            <w:top w:val="none" w:sz="0" w:space="0" w:color="auto"/>
            <w:left w:val="none" w:sz="0" w:space="0" w:color="auto"/>
            <w:bottom w:val="none" w:sz="0" w:space="0" w:color="auto"/>
            <w:right w:val="none" w:sz="0" w:space="0" w:color="auto"/>
          </w:divBdr>
        </w:div>
        <w:div w:id="139805464">
          <w:marLeft w:val="0"/>
          <w:marRight w:val="0"/>
          <w:marTop w:val="0"/>
          <w:marBottom w:val="0"/>
          <w:divBdr>
            <w:top w:val="none" w:sz="0" w:space="0" w:color="auto"/>
            <w:left w:val="none" w:sz="0" w:space="0" w:color="auto"/>
            <w:bottom w:val="none" w:sz="0" w:space="0" w:color="auto"/>
            <w:right w:val="none" w:sz="0" w:space="0" w:color="auto"/>
          </w:divBdr>
        </w:div>
        <w:div w:id="168175848">
          <w:marLeft w:val="0"/>
          <w:marRight w:val="0"/>
          <w:marTop w:val="0"/>
          <w:marBottom w:val="0"/>
          <w:divBdr>
            <w:top w:val="none" w:sz="0" w:space="0" w:color="auto"/>
            <w:left w:val="none" w:sz="0" w:space="0" w:color="auto"/>
            <w:bottom w:val="none" w:sz="0" w:space="0" w:color="auto"/>
            <w:right w:val="none" w:sz="0" w:space="0" w:color="auto"/>
          </w:divBdr>
        </w:div>
        <w:div w:id="218790757">
          <w:marLeft w:val="0"/>
          <w:marRight w:val="0"/>
          <w:marTop w:val="0"/>
          <w:marBottom w:val="0"/>
          <w:divBdr>
            <w:top w:val="none" w:sz="0" w:space="0" w:color="auto"/>
            <w:left w:val="none" w:sz="0" w:space="0" w:color="auto"/>
            <w:bottom w:val="none" w:sz="0" w:space="0" w:color="auto"/>
            <w:right w:val="none" w:sz="0" w:space="0" w:color="auto"/>
          </w:divBdr>
        </w:div>
        <w:div w:id="247496434">
          <w:marLeft w:val="0"/>
          <w:marRight w:val="0"/>
          <w:marTop w:val="0"/>
          <w:marBottom w:val="0"/>
          <w:divBdr>
            <w:top w:val="none" w:sz="0" w:space="0" w:color="auto"/>
            <w:left w:val="none" w:sz="0" w:space="0" w:color="auto"/>
            <w:bottom w:val="none" w:sz="0" w:space="0" w:color="auto"/>
            <w:right w:val="none" w:sz="0" w:space="0" w:color="auto"/>
          </w:divBdr>
        </w:div>
        <w:div w:id="618224705">
          <w:marLeft w:val="0"/>
          <w:marRight w:val="0"/>
          <w:marTop w:val="0"/>
          <w:marBottom w:val="0"/>
          <w:divBdr>
            <w:top w:val="none" w:sz="0" w:space="0" w:color="auto"/>
            <w:left w:val="none" w:sz="0" w:space="0" w:color="auto"/>
            <w:bottom w:val="none" w:sz="0" w:space="0" w:color="auto"/>
            <w:right w:val="none" w:sz="0" w:space="0" w:color="auto"/>
          </w:divBdr>
        </w:div>
        <w:div w:id="820270114">
          <w:marLeft w:val="0"/>
          <w:marRight w:val="0"/>
          <w:marTop w:val="0"/>
          <w:marBottom w:val="0"/>
          <w:divBdr>
            <w:top w:val="none" w:sz="0" w:space="0" w:color="auto"/>
            <w:left w:val="none" w:sz="0" w:space="0" w:color="auto"/>
            <w:bottom w:val="none" w:sz="0" w:space="0" w:color="auto"/>
            <w:right w:val="none" w:sz="0" w:space="0" w:color="auto"/>
          </w:divBdr>
        </w:div>
        <w:div w:id="1016419067">
          <w:marLeft w:val="0"/>
          <w:marRight w:val="0"/>
          <w:marTop w:val="0"/>
          <w:marBottom w:val="0"/>
          <w:divBdr>
            <w:top w:val="none" w:sz="0" w:space="0" w:color="auto"/>
            <w:left w:val="none" w:sz="0" w:space="0" w:color="auto"/>
            <w:bottom w:val="none" w:sz="0" w:space="0" w:color="auto"/>
            <w:right w:val="none" w:sz="0" w:space="0" w:color="auto"/>
          </w:divBdr>
        </w:div>
        <w:div w:id="1031221817">
          <w:marLeft w:val="0"/>
          <w:marRight w:val="0"/>
          <w:marTop w:val="0"/>
          <w:marBottom w:val="0"/>
          <w:divBdr>
            <w:top w:val="none" w:sz="0" w:space="0" w:color="auto"/>
            <w:left w:val="none" w:sz="0" w:space="0" w:color="auto"/>
            <w:bottom w:val="none" w:sz="0" w:space="0" w:color="auto"/>
            <w:right w:val="none" w:sz="0" w:space="0" w:color="auto"/>
          </w:divBdr>
        </w:div>
        <w:div w:id="1031762745">
          <w:marLeft w:val="0"/>
          <w:marRight w:val="0"/>
          <w:marTop w:val="0"/>
          <w:marBottom w:val="0"/>
          <w:divBdr>
            <w:top w:val="none" w:sz="0" w:space="0" w:color="auto"/>
            <w:left w:val="none" w:sz="0" w:space="0" w:color="auto"/>
            <w:bottom w:val="none" w:sz="0" w:space="0" w:color="auto"/>
            <w:right w:val="none" w:sz="0" w:space="0" w:color="auto"/>
          </w:divBdr>
        </w:div>
        <w:div w:id="1033724617">
          <w:marLeft w:val="0"/>
          <w:marRight w:val="0"/>
          <w:marTop w:val="0"/>
          <w:marBottom w:val="0"/>
          <w:divBdr>
            <w:top w:val="none" w:sz="0" w:space="0" w:color="auto"/>
            <w:left w:val="none" w:sz="0" w:space="0" w:color="auto"/>
            <w:bottom w:val="none" w:sz="0" w:space="0" w:color="auto"/>
            <w:right w:val="none" w:sz="0" w:space="0" w:color="auto"/>
          </w:divBdr>
        </w:div>
        <w:div w:id="1119422324">
          <w:marLeft w:val="0"/>
          <w:marRight w:val="0"/>
          <w:marTop w:val="0"/>
          <w:marBottom w:val="0"/>
          <w:divBdr>
            <w:top w:val="none" w:sz="0" w:space="0" w:color="auto"/>
            <w:left w:val="none" w:sz="0" w:space="0" w:color="auto"/>
            <w:bottom w:val="none" w:sz="0" w:space="0" w:color="auto"/>
            <w:right w:val="none" w:sz="0" w:space="0" w:color="auto"/>
          </w:divBdr>
        </w:div>
        <w:div w:id="1344629621">
          <w:marLeft w:val="0"/>
          <w:marRight w:val="0"/>
          <w:marTop w:val="0"/>
          <w:marBottom w:val="0"/>
          <w:divBdr>
            <w:top w:val="none" w:sz="0" w:space="0" w:color="auto"/>
            <w:left w:val="none" w:sz="0" w:space="0" w:color="auto"/>
            <w:bottom w:val="none" w:sz="0" w:space="0" w:color="auto"/>
            <w:right w:val="none" w:sz="0" w:space="0" w:color="auto"/>
          </w:divBdr>
        </w:div>
        <w:div w:id="1382821388">
          <w:marLeft w:val="0"/>
          <w:marRight w:val="0"/>
          <w:marTop w:val="0"/>
          <w:marBottom w:val="0"/>
          <w:divBdr>
            <w:top w:val="none" w:sz="0" w:space="0" w:color="auto"/>
            <w:left w:val="none" w:sz="0" w:space="0" w:color="auto"/>
            <w:bottom w:val="none" w:sz="0" w:space="0" w:color="auto"/>
            <w:right w:val="none" w:sz="0" w:space="0" w:color="auto"/>
          </w:divBdr>
        </w:div>
        <w:div w:id="1504078760">
          <w:marLeft w:val="0"/>
          <w:marRight w:val="0"/>
          <w:marTop w:val="0"/>
          <w:marBottom w:val="0"/>
          <w:divBdr>
            <w:top w:val="none" w:sz="0" w:space="0" w:color="auto"/>
            <w:left w:val="none" w:sz="0" w:space="0" w:color="auto"/>
            <w:bottom w:val="none" w:sz="0" w:space="0" w:color="auto"/>
            <w:right w:val="none" w:sz="0" w:space="0" w:color="auto"/>
          </w:divBdr>
        </w:div>
        <w:div w:id="1602644838">
          <w:marLeft w:val="0"/>
          <w:marRight w:val="0"/>
          <w:marTop w:val="0"/>
          <w:marBottom w:val="0"/>
          <w:divBdr>
            <w:top w:val="none" w:sz="0" w:space="0" w:color="auto"/>
            <w:left w:val="none" w:sz="0" w:space="0" w:color="auto"/>
            <w:bottom w:val="none" w:sz="0" w:space="0" w:color="auto"/>
            <w:right w:val="none" w:sz="0" w:space="0" w:color="auto"/>
          </w:divBdr>
        </w:div>
        <w:div w:id="1741711861">
          <w:marLeft w:val="0"/>
          <w:marRight w:val="0"/>
          <w:marTop w:val="0"/>
          <w:marBottom w:val="0"/>
          <w:divBdr>
            <w:top w:val="none" w:sz="0" w:space="0" w:color="auto"/>
            <w:left w:val="none" w:sz="0" w:space="0" w:color="auto"/>
            <w:bottom w:val="none" w:sz="0" w:space="0" w:color="auto"/>
            <w:right w:val="none" w:sz="0" w:space="0" w:color="auto"/>
          </w:divBdr>
        </w:div>
        <w:div w:id="1761949976">
          <w:marLeft w:val="0"/>
          <w:marRight w:val="0"/>
          <w:marTop w:val="0"/>
          <w:marBottom w:val="0"/>
          <w:divBdr>
            <w:top w:val="none" w:sz="0" w:space="0" w:color="auto"/>
            <w:left w:val="none" w:sz="0" w:space="0" w:color="auto"/>
            <w:bottom w:val="none" w:sz="0" w:space="0" w:color="auto"/>
            <w:right w:val="none" w:sz="0" w:space="0" w:color="auto"/>
          </w:divBdr>
        </w:div>
        <w:div w:id="1816604911">
          <w:marLeft w:val="0"/>
          <w:marRight w:val="0"/>
          <w:marTop w:val="0"/>
          <w:marBottom w:val="0"/>
          <w:divBdr>
            <w:top w:val="none" w:sz="0" w:space="0" w:color="auto"/>
            <w:left w:val="none" w:sz="0" w:space="0" w:color="auto"/>
            <w:bottom w:val="none" w:sz="0" w:space="0" w:color="auto"/>
            <w:right w:val="none" w:sz="0" w:space="0" w:color="auto"/>
          </w:divBdr>
        </w:div>
        <w:div w:id="1876965449">
          <w:marLeft w:val="0"/>
          <w:marRight w:val="0"/>
          <w:marTop w:val="0"/>
          <w:marBottom w:val="0"/>
          <w:divBdr>
            <w:top w:val="none" w:sz="0" w:space="0" w:color="auto"/>
            <w:left w:val="none" w:sz="0" w:space="0" w:color="auto"/>
            <w:bottom w:val="none" w:sz="0" w:space="0" w:color="auto"/>
            <w:right w:val="none" w:sz="0" w:space="0" w:color="auto"/>
          </w:divBdr>
        </w:div>
        <w:div w:id="1967614822">
          <w:marLeft w:val="0"/>
          <w:marRight w:val="0"/>
          <w:marTop w:val="0"/>
          <w:marBottom w:val="0"/>
          <w:divBdr>
            <w:top w:val="none" w:sz="0" w:space="0" w:color="auto"/>
            <w:left w:val="none" w:sz="0" w:space="0" w:color="auto"/>
            <w:bottom w:val="none" w:sz="0" w:space="0" w:color="auto"/>
            <w:right w:val="none" w:sz="0" w:space="0" w:color="auto"/>
          </w:divBdr>
        </w:div>
        <w:div w:id="2117141025">
          <w:marLeft w:val="0"/>
          <w:marRight w:val="0"/>
          <w:marTop w:val="0"/>
          <w:marBottom w:val="0"/>
          <w:divBdr>
            <w:top w:val="none" w:sz="0" w:space="0" w:color="auto"/>
            <w:left w:val="none" w:sz="0" w:space="0" w:color="auto"/>
            <w:bottom w:val="none" w:sz="0" w:space="0" w:color="auto"/>
            <w:right w:val="none" w:sz="0" w:space="0" w:color="auto"/>
          </w:divBdr>
        </w:div>
      </w:divsChild>
    </w:div>
    <w:div w:id="846099570">
      <w:bodyDiv w:val="1"/>
      <w:marLeft w:val="0"/>
      <w:marRight w:val="0"/>
      <w:marTop w:val="0"/>
      <w:marBottom w:val="0"/>
      <w:divBdr>
        <w:top w:val="none" w:sz="0" w:space="0" w:color="auto"/>
        <w:left w:val="none" w:sz="0" w:space="0" w:color="auto"/>
        <w:bottom w:val="none" w:sz="0" w:space="0" w:color="auto"/>
        <w:right w:val="none" w:sz="0" w:space="0" w:color="auto"/>
      </w:divBdr>
      <w:divsChild>
        <w:div w:id="1692946932">
          <w:marLeft w:val="640"/>
          <w:marRight w:val="0"/>
          <w:marTop w:val="0"/>
          <w:marBottom w:val="0"/>
          <w:divBdr>
            <w:top w:val="none" w:sz="0" w:space="0" w:color="auto"/>
            <w:left w:val="none" w:sz="0" w:space="0" w:color="auto"/>
            <w:bottom w:val="none" w:sz="0" w:space="0" w:color="auto"/>
            <w:right w:val="none" w:sz="0" w:space="0" w:color="auto"/>
          </w:divBdr>
        </w:div>
        <w:div w:id="277567632">
          <w:marLeft w:val="640"/>
          <w:marRight w:val="0"/>
          <w:marTop w:val="0"/>
          <w:marBottom w:val="0"/>
          <w:divBdr>
            <w:top w:val="none" w:sz="0" w:space="0" w:color="auto"/>
            <w:left w:val="none" w:sz="0" w:space="0" w:color="auto"/>
            <w:bottom w:val="none" w:sz="0" w:space="0" w:color="auto"/>
            <w:right w:val="none" w:sz="0" w:space="0" w:color="auto"/>
          </w:divBdr>
        </w:div>
      </w:divsChild>
    </w:div>
    <w:div w:id="919868101">
      <w:bodyDiv w:val="1"/>
      <w:marLeft w:val="0"/>
      <w:marRight w:val="0"/>
      <w:marTop w:val="0"/>
      <w:marBottom w:val="0"/>
      <w:divBdr>
        <w:top w:val="none" w:sz="0" w:space="0" w:color="auto"/>
        <w:left w:val="none" w:sz="0" w:space="0" w:color="auto"/>
        <w:bottom w:val="none" w:sz="0" w:space="0" w:color="auto"/>
        <w:right w:val="none" w:sz="0" w:space="0" w:color="auto"/>
      </w:divBdr>
    </w:div>
    <w:div w:id="932130267">
      <w:bodyDiv w:val="1"/>
      <w:marLeft w:val="0"/>
      <w:marRight w:val="0"/>
      <w:marTop w:val="0"/>
      <w:marBottom w:val="0"/>
      <w:divBdr>
        <w:top w:val="none" w:sz="0" w:space="0" w:color="auto"/>
        <w:left w:val="none" w:sz="0" w:space="0" w:color="auto"/>
        <w:bottom w:val="none" w:sz="0" w:space="0" w:color="auto"/>
        <w:right w:val="none" w:sz="0" w:space="0" w:color="auto"/>
      </w:divBdr>
      <w:divsChild>
        <w:div w:id="1313950560">
          <w:marLeft w:val="0"/>
          <w:marRight w:val="0"/>
          <w:marTop w:val="0"/>
          <w:marBottom w:val="0"/>
          <w:divBdr>
            <w:top w:val="none" w:sz="0" w:space="0" w:color="auto"/>
            <w:left w:val="none" w:sz="0" w:space="0" w:color="auto"/>
            <w:bottom w:val="none" w:sz="0" w:space="0" w:color="auto"/>
            <w:right w:val="none" w:sz="0" w:space="0" w:color="auto"/>
          </w:divBdr>
        </w:div>
      </w:divsChild>
    </w:div>
    <w:div w:id="962929533">
      <w:bodyDiv w:val="1"/>
      <w:marLeft w:val="0"/>
      <w:marRight w:val="0"/>
      <w:marTop w:val="0"/>
      <w:marBottom w:val="0"/>
      <w:divBdr>
        <w:top w:val="none" w:sz="0" w:space="0" w:color="auto"/>
        <w:left w:val="none" w:sz="0" w:space="0" w:color="auto"/>
        <w:bottom w:val="none" w:sz="0" w:space="0" w:color="auto"/>
        <w:right w:val="none" w:sz="0" w:space="0" w:color="auto"/>
      </w:divBdr>
    </w:div>
    <w:div w:id="963392126">
      <w:bodyDiv w:val="1"/>
      <w:marLeft w:val="0"/>
      <w:marRight w:val="0"/>
      <w:marTop w:val="0"/>
      <w:marBottom w:val="0"/>
      <w:divBdr>
        <w:top w:val="none" w:sz="0" w:space="0" w:color="auto"/>
        <w:left w:val="none" w:sz="0" w:space="0" w:color="auto"/>
        <w:bottom w:val="none" w:sz="0" w:space="0" w:color="auto"/>
        <w:right w:val="none" w:sz="0" w:space="0" w:color="auto"/>
      </w:divBdr>
      <w:divsChild>
        <w:div w:id="760683631">
          <w:marLeft w:val="640"/>
          <w:marRight w:val="0"/>
          <w:marTop w:val="0"/>
          <w:marBottom w:val="0"/>
          <w:divBdr>
            <w:top w:val="none" w:sz="0" w:space="0" w:color="auto"/>
            <w:left w:val="none" w:sz="0" w:space="0" w:color="auto"/>
            <w:bottom w:val="none" w:sz="0" w:space="0" w:color="auto"/>
            <w:right w:val="none" w:sz="0" w:space="0" w:color="auto"/>
          </w:divBdr>
        </w:div>
        <w:div w:id="1791440046">
          <w:marLeft w:val="640"/>
          <w:marRight w:val="0"/>
          <w:marTop w:val="0"/>
          <w:marBottom w:val="0"/>
          <w:divBdr>
            <w:top w:val="none" w:sz="0" w:space="0" w:color="auto"/>
            <w:left w:val="none" w:sz="0" w:space="0" w:color="auto"/>
            <w:bottom w:val="none" w:sz="0" w:space="0" w:color="auto"/>
            <w:right w:val="none" w:sz="0" w:space="0" w:color="auto"/>
          </w:divBdr>
        </w:div>
        <w:div w:id="538707973">
          <w:marLeft w:val="640"/>
          <w:marRight w:val="0"/>
          <w:marTop w:val="0"/>
          <w:marBottom w:val="0"/>
          <w:divBdr>
            <w:top w:val="none" w:sz="0" w:space="0" w:color="auto"/>
            <w:left w:val="none" w:sz="0" w:space="0" w:color="auto"/>
            <w:bottom w:val="none" w:sz="0" w:space="0" w:color="auto"/>
            <w:right w:val="none" w:sz="0" w:space="0" w:color="auto"/>
          </w:divBdr>
        </w:div>
      </w:divsChild>
    </w:div>
    <w:div w:id="1078480017">
      <w:bodyDiv w:val="1"/>
      <w:marLeft w:val="0"/>
      <w:marRight w:val="0"/>
      <w:marTop w:val="0"/>
      <w:marBottom w:val="0"/>
      <w:divBdr>
        <w:top w:val="none" w:sz="0" w:space="0" w:color="auto"/>
        <w:left w:val="none" w:sz="0" w:space="0" w:color="auto"/>
        <w:bottom w:val="none" w:sz="0" w:space="0" w:color="auto"/>
        <w:right w:val="none" w:sz="0" w:space="0" w:color="auto"/>
      </w:divBdr>
      <w:divsChild>
        <w:div w:id="1211915180">
          <w:marLeft w:val="640"/>
          <w:marRight w:val="0"/>
          <w:marTop w:val="0"/>
          <w:marBottom w:val="0"/>
          <w:divBdr>
            <w:top w:val="none" w:sz="0" w:space="0" w:color="auto"/>
            <w:left w:val="none" w:sz="0" w:space="0" w:color="auto"/>
            <w:bottom w:val="none" w:sz="0" w:space="0" w:color="auto"/>
            <w:right w:val="none" w:sz="0" w:space="0" w:color="auto"/>
          </w:divBdr>
        </w:div>
        <w:div w:id="163473946">
          <w:marLeft w:val="640"/>
          <w:marRight w:val="0"/>
          <w:marTop w:val="0"/>
          <w:marBottom w:val="0"/>
          <w:divBdr>
            <w:top w:val="none" w:sz="0" w:space="0" w:color="auto"/>
            <w:left w:val="none" w:sz="0" w:space="0" w:color="auto"/>
            <w:bottom w:val="none" w:sz="0" w:space="0" w:color="auto"/>
            <w:right w:val="none" w:sz="0" w:space="0" w:color="auto"/>
          </w:divBdr>
        </w:div>
        <w:div w:id="363017052">
          <w:marLeft w:val="640"/>
          <w:marRight w:val="0"/>
          <w:marTop w:val="0"/>
          <w:marBottom w:val="0"/>
          <w:divBdr>
            <w:top w:val="none" w:sz="0" w:space="0" w:color="auto"/>
            <w:left w:val="none" w:sz="0" w:space="0" w:color="auto"/>
            <w:bottom w:val="none" w:sz="0" w:space="0" w:color="auto"/>
            <w:right w:val="none" w:sz="0" w:space="0" w:color="auto"/>
          </w:divBdr>
        </w:div>
        <w:div w:id="1823426735">
          <w:marLeft w:val="640"/>
          <w:marRight w:val="0"/>
          <w:marTop w:val="0"/>
          <w:marBottom w:val="0"/>
          <w:divBdr>
            <w:top w:val="none" w:sz="0" w:space="0" w:color="auto"/>
            <w:left w:val="none" w:sz="0" w:space="0" w:color="auto"/>
            <w:bottom w:val="none" w:sz="0" w:space="0" w:color="auto"/>
            <w:right w:val="none" w:sz="0" w:space="0" w:color="auto"/>
          </w:divBdr>
        </w:div>
        <w:div w:id="2111507518">
          <w:marLeft w:val="640"/>
          <w:marRight w:val="0"/>
          <w:marTop w:val="0"/>
          <w:marBottom w:val="0"/>
          <w:divBdr>
            <w:top w:val="none" w:sz="0" w:space="0" w:color="auto"/>
            <w:left w:val="none" w:sz="0" w:space="0" w:color="auto"/>
            <w:bottom w:val="none" w:sz="0" w:space="0" w:color="auto"/>
            <w:right w:val="none" w:sz="0" w:space="0" w:color="auto"/>
          </w:divBdr>
        </w:div>
      </w:divsChild>
    </w:div>
    <w:div w:id="1096367130">
      <w:bodyDiv w:val="1"/>
      <w:marLeft w:val="0"/>
      <w:marRight w:val="0"/>
      <w:marTop w:val="0"/>
      <w:marBottom w:val="0"/>
      <w:divBdr>
        <w:top w:val="none" w:sz="0" w:space="0" w:color="auto"/>
        <w:left w:val="none" w:sz="0" w:space="0" w:color="auto"/>
        <w:bottom w:val="none" w:sz="0" w:space="0" w:color="auto"/>
        <w:right w:val="none" w:sz="0" w:space="0" w:color="auto"/>
      </w:divBdr>
    </w:div>
    <w:div w:id="1100099255">
      <w:bodyDiv w:val="1"/>
      <w:marLeft w:val="0"/>
      <w:marRight w:val="0"/>
      <w:marTop w:val="0"/>
      <w:marBottom w:val="0"/>
      <w:divBdr>
        <w:top w:val="none" w:sz="0" w:space="0" w:color="auto"/>
        <w:left w:val="none" w:sz="0" w:space="0" w:color="auto"/>
        <w:bottom w:val="none" w:sz="0" w:space="0" w:color="auto"/>
        <w:right w:val="none" w:sz="0" w:space="0" w:color="auto"/>
      </w:divBdr>
    </w:div>
    <w:div w:id="1131897278">
      <w:bodyDiv w:val="1"/>
      <w:marLeft w:val="0"/>
      <w:marRight w:val="0"/>
      <w:marTop w:val="0"/>
      <w:marBottom w:val="0"/>
      <w:divBdr>
        <w:top w:val="none" w:sz="0" w:space="0" w:color="auto"/>
        <w:left w:val="none" w:sz="0" w:space="0" w:color="auto"/>
        <w:bottom w:val="none" w:sz="0" w:space="0" w:color="auto"/>
        <w:right w:val="none" w:sz="0" w:space="0" w:color="auto"/>
      </w:divBdr>
    </w:div>
    <w:div w:id="1134371728">
      <w:bodyDiv w:val="1"/>
      <w:marLeft w:val="0"/>
      <w:marRight w:val="0"/>
      <w:marTop w:val="0"/>
      <w:marBottom w:val="0"/>
      <w:divBdr>
        <w:top w:val="none" w:sz="0" w:space="0" w:color="auto"/>
        <w:left w:val="none" w:sz="0" w:space="0" w:color="auto"/>
        <w:bottom w:val="none" w:sz="0" w:space="0" w:color="auto"/>
        <w:right w:val="none" w:sz="0" w:space="0" w:color="auto"/>
      </w:divBdr>
      <w:divsChild>
        <w:div w:id="1232621242">
          <w:marLeft w:val="640"/>
          <w:marRight w:val="0"/>
          <w:marTop w:val="0"/>
          <w:marBottom w:val="0"/>
          <w:divBdr>
            <w:top w:val="none" w:sz="0" w:space="0" w:color="auto"/>
            <w:left w:val="none" w:sz="0" w:space="0" w:color="auto"/>
            <w:bottom w:val="none" w:sz="0" w:space="0" w:color="auto"/>
            <w:right w:val="none" w:sz="0" w:space="0" w:color="auto"/>
          </w:divBdr>
        </w:div>
      </w:divsChild>
    </w:div>
    <w:div w:id="1158695757">
      <w:bodyDiv w:val="1"/>
      <w:marLeft w:val="0"/>
      <w:marRight w:val="0"/>
      <w:marTop w:val="0"/>
      <w:marBottom w:val="0"/>
      <w:divBdr>
        <w:top w:val="none" w:sz="0" w:space="0" w:color="auto"/>
        <w:left w:val="none" w:sz="0" w:space="0" w:color="auto"/>
        <w:bottom w:val="none" w:sz="0" w:space="0" w:color="auto"/>
        <w:right w:val="none" w:sz="0" w:space="0" w:color="auto"/>
      </w:divBdr>
      <w:divsChild>
        <w:div w:id="2070766219">
          <w:marLeft w:val="640"/>
          <w:marRight w:val="0"/>
          <w:marTop w:val="0"/>
          <w:marBottom w:val="0"/>
          <w:divBdr>
            <w:top w:val="none" w:sz="0" w:space="0" w:color="auto"/>
            <w:left w:val="none" w:sz="0" w:space="0" w:color="auto"/>
            <w:bottom w:val="none" w:sz="0" w:space="0" w:color="auto"/>
            <w:right w:val="none" w:sz="0" w:space="0" w:color="auto"/>
          </w:divBdr>
        </w:div>
        <w:div w:id="385253030">
          <w:marLeft w:val="640"/>
          <w:marRight w:val="0"/>
          <w:marTop w:val="0"/>
          <w:marBottom w:val="0"/>
          <w:divBdr>
            <w:top w:val="none" w:sz="0" w:space="0" w:color="auto"/>
            <w:left w:val="none" w:sz="0" w:space="0" w:color="auto"/>
            <w:bottom w:val="none" w:sz="0" w:space="0" w:color="auto"/>
            <w:right w:val="none" w:sz="0" w:space="0" w:color="auto"/>
          </w:divBdr>
        </w:div>
        <w:div w:id="1208837703">
          <w:marLeft w:val="640"/>
          <w:marRight w:val="0"/>
          <w:marTop w:val="0"/>
          <w:marBottom w:val="0"/>
          <w:divBdr>
            <w:top w:val="none" w:sz="0" w:space="0" w:color="auto"/>
            <w:left w:val="none" w:sz="0" w:space="0" w:color="auto"/>
            <w:bottom w:val="none" w:sz="0" w:space="0" w:color="auto"/>
            <w:right w:val="none" w:sz="0" w:space="0" w:color="auto"/>
          </w:divBdr>
        </w:div>
        <w:div w:id="1176505727">
          <w:marLeft w:val="640"/>
          <w:marRight w:val="0"/>
          <w:marTop w:val="0"/>
          <w:marBottom w:val="0"/>
          <w:divBdr>
            <w:top w:val="none" w:sz="0" w:space="0" w:color="auto"/>
            <w:left w:val="none" w:sz="0" w:space="0" w:color="auto"/>
            <w:bottom w:val="none" w:sz="0" w:space="0" w:color="auto"/>
            <w:right w:val="none" w:sz="0" w:space="0" w:color="auto"/>
          </w:divBdr>
        </w:div>
        <w:div w:id="1317146322">
          <w:marLeft w:val="640"/>
          <w:marRight w:val="0"/>
          <w:marTop w:val="0"/>
          <w:marBottom w:val="0"/>
          <w:divBdr>
            <w:top w:val="none" w:sz="0" w:space="0" w:color="auto"/>
            <w:left w:val="none" w:sz="0" w:space="0" w:color="auto"/>
            <w:bottom w:val="none" w:sz="0" w:space="0" w:color="auto"/>
            <w:right w:val="none" w:sz="0" w:space="0" w:color="auto"/>
          </w:divBdr>
        </w:div>
        <w:div w:id="126826178">
          <w:marLeft w:val="640"/>
          <w:marRight w:val="0"/>
          <w:marTop w:val="0"/>
          <w:marBottom w:val="0"/>
          <w:divBdr>
            <w:top w:val="none" w:sz="0" w:space="0" w:color="auto"/>
            <w:left w:val="none" w:sz="0" w:space="0" w:color="auto"/>
            <w:bottom w:val="none" w:sz="0" w:space="0" w:color="auto"/>
            <w:right w:val="none" w:sz="0" w:space="0" w:color="auto"/>
          </w:divBdr>
        </w:div>
      </w:divsChild>
    </w:div>
    <w:div w:id="1180465983">
      <w:bodyDiv w:val="1"/>
      <w:marLeft w:val="0"/>
      <w:marRight w:val="0"/>
      <w:marTop w:val="0"/>
      <w:marBottom w:val="0"/>
      <w:divBdr>
        <w:top w:val="none" w:sz="0" w:space="0" w:color="auto"/>
        <w:left w:val="none" w:sz="0" w:space="0" w:color="auto"/>
        <w:bottom w:val="none" w:sz="0" w:space="0" w:color="auto"/>
        <w:right w:val="none" w:sz="0" w:space="0" w:color="auto"/>
      </w:divBdr>
      <w:divsChild>
        <w:div w:id="1970475154">
          <w:marLeft w:val="640"/>
          <w:marRight w:val="0"/>
          <w:marTop w:val="0"/>
          <w:marBottom w:val="0"/>
          <w:divBdr>
            <w:top w:val="none" w:sz="0" w:space="0" w:color="auto"/>
            <w:left w:val="none" w:sz="0" w:space="0" w:color="auto"/>
            <w:bottom w:val="none" w:sz="0" w:space="0" w:color="auto"/>
            <w:right w:val="none" w:sz="0" w:space="0" w:color="auto"/>
          </w:divBdr>
        </w:div>
      </w:divsChild>
    </w:div>
    <w:div w:id="1241018515">
      <w:bodyDiv w:val="1"/>
      <w:marLeft w:val="0"/>
      <w:marRight w:val="0"/>
      <w:marTop w:val="0"/>
      <w:marBottom w:val="0"/>
      <w:divBdr>
        <w:top w:val="none" w:sz="0" w:space="0" w:color="auto"/>
        <w:left w:val="none" w:sz="0" w:space="0" w:color="auto"/>
        <w:bottom w:val="none" w:sz="0" w:space="0" w:color="auto"/>
        <w:right w:val="none" w:sz="0" w:space="0" w:color="auto"/>
      </w:divBdr>
      <w:divsChild>
        <w:div w:id="934551863">
          <w:marLeft w:val="0"/>
          <w:marRight w:val="0"/>
          <w:marTop w:val="0"/>
          <w:marBottom w:val="0"/>
          <w:divBdr>
            <w:top w:val="none" w:sz="0" w:space="0" w:color="auto"/>
            <w:left w:val="none" w:sz="0" w:space="0" w:color="auto"/>
            <w:bottom w:val="none" w:sz="0" w:space="0" w:color="auto"/>
            <w:right w:val="none" w:sz="0" w:space="0" w:color="auto"/>
          </w:divBdr>
        </w:div>
      </w:divsChild>
    </w:div>
    <w:div w:id="1291015221">
      <w:bodyDiv w:val="1"/>
      <w:marLeft w:val="0"/>
      <w:marRight w:val="0"/>
      <w:marTop w:val="0"/>
      <w:marBottom w:val="0"/>
      <w:divBdr>
        <w:top w:val="none" w:sz="0" w:space="0" w:color="auto"/>
        <w:left w:val="none" w:sz="0" w:space="0" w:color="auto"/>
        <w:bottom w:val="none" w:sz="0" w:space="0" w:color="auto"/>
        <w:right w:val="none" w:sz="0" w:space="0" w:color="auto"/>
      </w:divBdr>
      <w:divsChild>
        <w:div w:id="431895010">
          <w:marLeft w:val="0"/>
          <w:marRight w:val="0"/>
          <w:marTop w:val="0"/>
          <w:marBottom w:val="0"/>
          <w:divBdr>
            <w:top w:val="none" w:sz="0" w:space="0" w:color="auto"/>
            <w:left w:val="none" w:sz="0" w:space="0" w:color="auto"/>
            <w:bottom w:val="none" w:sz="0" w:space="0" w:color="auto"/>
            <w:right w:val="none" w:sz="0" w:space="0" w:color="auto"/>
          </w:divBdr>
        </w:div>
        <w:div w:id="2051763199">
          <w:marLeft w:val="0"/>
          <w:marRight w:val="0"/>
          <w:marTop w:val="0"/>
          <w:marBottom w:val="0"/>
          <w:divBdr>
            <w:top w:val="none" w:sz="0" w:space="0" w:color="auto"/>
            <w:left w:val="none" w:sz="0" w:space="0" w:color="auto"/>
            <w:bottom w:val="none" w:sz="0" w:space="0" w:color="auto"/>
            <w:right w:val="none" w:sz="0" w:space="0" w:color="auto"/>
          </w:divBdr>
        </w:div>
      </w:divsChild>
    </w:div>
    <w:div w:id="1331788412">
      <w:bodyDiv w:val="1"/>
      <w:marLeft w:val="0"/>
      <w:marRight w:val="0"/>
      <w:marTop w:val="0"/>
      <w:marBottom w:val="0"/>
      <w:divBdr>
        <w:top w:val="none" w:sz="0" w:space="0" w:color="auto"/>
        <w:left w:val="none" w:sz="0" w:space="0" w:color="auto"/>
        <w:bottom w:val="none" w:sz="0" w:space="0" w:color="auto"/>
        <w:right w:val="none" w:sz="0" w:space="0" w:color="auto"/>
      </w:divBdr>
      <w:divsChild>
        <w:div w:id="120851772">
          <w:marLeft w:val="640"/>
          <w:marRight w:val="0"/>
          <w:marTop w:val="0"/>
          <w:marBottom w:val="0"/>
          <w:divBdr>
            <w:top w:val="none" w:sz="0" w:space="0" w:color="auto"/>
            <w:left w:val="none" w:sz="0" w:space="0" w:color="auto"/>
            <w:bottom w:val="none" w:sz="0" w:space="0" w:color="auto"/>
            <w:right w:val="none" w:sz="0" w:space="0" w:color="auto"/>
          </w:divBdr>
        </w:div>
        <w:div w:id="802773393">
          <w:marLeft w:val="640"/>
          <w:marRight w:val="0"/>
          <w:marTop w:val="0"/>
          <w:marBottom w:val="0"/>
          <w:divBdr>
            <w:top w:val="none" w:sz="0" w:space="0" w:color="auto"/>
            <w:left w:val="none" w:sz="0" w:space="0" w:color="auto"/>
            <w:bottom w:val="none" w:sz="0" w:space="0" w:color="auto"/>
            <w:right w:val="none" w:sz="0" w:space="0" w:color="auto"/>
          </w:divBdr>
        </w:div>
        <w:div w:id="595015406">
          <w:marLeft w:val="640"/>
          <w:marRight w:val="0"/>
          <w:marTop w:val="0"/>
          <w:marBottom w:val="0"/>
          <w:divBdr>
            <w:top w:val="none" w:sz="0" w:space="0" w:color="auto"/>
            <w:left w:val="none" w:sz="0" w:space="0" w:color="auto"/>
            <w:bottom w:val="none" w:sz="0" w:space="0" w:color="auto"/>
            <w:right w:val="none" w:sz="0" w:space="0" w:color="auto"/>
          </w:divBdr>
        </w:div>
        <w:div w:id="1771856869">
          <w:marLeft w:val="640"/>
          <w:marRight w:val="0"/>
          <w:marTop w:val="0"/>
          <w:marBottom w:val="0"/>
          <w:divBdr>
            <w:top w:val="none" w:sz="0" w:space="0" w:color="auto"/>
            <w:left w:val="none" w:sz="0" w:space="0" w:color="auto"/>
            <w:bottom w:val="none" w:sz="0" w:space="0" w:color="auto"/>
            <w:right w:val="none" w:sz="0" w:space="0" w:color="auto"/>
          </w:divBdr>
        </w:div>
        <w:div w:id="2107074195">
          <w:marLeft w:val="640"/>
          <w:marRight w:val="0"/>
          <w:marTop w:val="0"/>
          <w:marBottom w:val="0"/>
          <w:divBdr>
            <w:top w:val="none" w:sz="0" w:space="0" w:color="auto"/>
            <w:left w:val="none" w:sz="0" w:space="0" w:color="auto"/>
            <w:bottom w:val="none" w:sz="0" w:space="0" w:color="auto"/>
            <w:right w:val="none" w:sz="0" w:space="0" w:color="auto"/>
          </w:divBdr>
        </w:div>
        <w:div w:id="777456292">
          <w:marLeft w:val="640"/>
          <w:marRight w:val="0"/>
          <w:marTop w:val="0"/>
          <w:marBottom w:val="0"/>
          <w:divBdr>
            <w:top w:val="none" w:sz="0" w:space="0" w:color="auto"/>
            <w:left w:val="none" w:sz="0" w:space="0" w:color="auto"/>
            <w:bottom w:val="none" w:sz="0" w:space="0" w:color="auto"/>
            <w:right w:val="none" w:sz="0" w:space="0" w:color="auto"/>
          </w:divBdr>
        </w:div>
      </w:divsChild>
    </w:div>
    <w:div w:id="1334526627">
      <w:bodyDiv w:val="1"/>
      <w:marLeft w:val="0"/>
      <w:marRight w:val="0"/>
      <w:marTop w:val="0"/>
      <w:marBottom w:val="0"/>
      <w:divBdr>
        <w:top w:val="none" w:sz="0" w:space="0" w:color="auto"/>
        <w:left w:val="none" w:sz="0" w:space="0" w:color="auto"/>
        <w:bottom w:val="none" w:sz="0" w:space="0" w:color="auto"/>
        <w:right w:val="none" w:sz="0" w:space="0" w:color="auto"/>
      </w:divBdr>
      <w:divsChild>
        <w:div w:id="813062302">
          <w:marLeft w:val="0"/>
          <w:marRight w:val="0"/>
          <w:marTop w:val="0"/>
          <w:marBottom w:val="0"/>
          <w:divBdr>
            <w:top w:val="none" w:sz="0" w:space="0" w:color="auto"/>
            <w:left w:val="none" w:sz="0" w:space="0" w:color="auto"/>
            <w:bottom w:val="none" w:sz="0" w:space="0" w:color="auto"/>
            <w:right w:val="none" w:sz="0" w:space="0" w:color="auto"/>
          </w:divBdr>
        </w:div>
      </w:divsChild>
    </w:div>
    <w:div w:id="1412893942">
      <w:bodyDiv w:val="1"/>
      <w:marLeft w:val="0"/>
      <w:marRight w:val="0"/>
      <w:marTop w:val="0"/>
      <w:marBottom w:val="0"/>
      <w:divBdr>
        <w:top w:val="none" w:sz="0" w:space="0" w:color="auto"/>
        <w:left w:val="none" w:sz="0" w:space="0" w:color="auto"/>
        <w:bottom w:val="none" w:sz="0" w:space="0" w:color="auto"/>
        <w:right w:val="none" w:sz="0" w:space="0" w:color="auto"/>
      </w:divBdr>
      <w:divsChild>
        <w:div w:id="125853278">
          <w:marLeft w:val="0"/>
          <w:marRight w:val="0"/>
          <w:marTop w:val="0"/>
          <w:marBottom w:val="0"/>
          <w:divBdr>
            <w:top w:val="none" w:sz="0" w:space="0" w:color="auto"/>
            <w:left w:val="none" w:sz="0" w:space="0" w:color="auto"/>
            <w:bottom w:val="none" w:sz="0" w:space="0" w:color="auto"/>
            <w:right w:val="none" w:sz="0" w:space="0" w:color="auto"/>
          </w:divBdr>
        </w:div>
        <w:div w:id="201401424">
          <w:marLeft w:val="0"/>
          <w:marRight w:val="0"/>
          <w:marTop w:val="0"/>
          <w:marBottom w:val="0"/>
          <w:divBdr>
            <w:top w:val="none" w:sz="0" w:space="0" w:color="auto"/>
            <w:left w:val="none" w:sz="0" w:space="0" w:color="auto"/>
            <w:bottom w:val="none" w:sz="0" w:space="0" w:color="auto"/>
            <w:right w:val="none" w:sz="0" w:space="0" w:color="auto"/>
          </w:divBdr>
        </w:div>
        <w:div w:id="492723685">
          <w:marLeft w:val="0"/>
          <w:marRight w:val="0"/>
          <w:marTop w:val="0"/>
          <w:marBottom w:val="0"/>
          <w:divBdr>
            <w:top w:val="none" w:sz="0" w:space="0" w:color="auto"/>
            <w:left w:val="none" w:sz="0" w:space="0" w:color="auto"/>
            <w:bottom w:val="none" w:sz="0" w:space="0" w:color="auto"/>
            <w:right w:val="none" w:sz="0" w:space="0" w:color="auto"/>
          </w:divBdr>
        </w:div>
        <w:div w:id="673873641">
          <w:marLeft w:val="0"/>
          <w:marRight w:val="0"/>
          <w:marTop w:val="0"/>
          <w:marBottom w:val="0"/>
          <w:divBdr>
            <w:top w:val="none" w:sz="0" w:space="0" w:color="auto"/>
            <w:left w:val="none" w:sz="0" w:space="0" w:color="auto"/>
            <w:bottom w:val="none" w:sz="0" w:space="0" w:color="auto"/>
            <w:right w:val="none" w:sz="0" w:space="0" w:color="auto"/>
          </w:divBdr>
        </w:div>
        <w:div w:id="747187356">
          <w:marLeft w:val="0"/>
          <w:marRight w:val="0"/>
          <w:marTop w:val="0"/>
          <w:marBottom w:val="0"/>
          <w:divBdr>
            <w:top w:val="none" w:sz="0" w:space="0" w:color="auto"/>
            <w:left w:val="none" w:sz="0" w:space="0" w:color="auto"/>
            <w:bottom w:val="none" w:sz="0" w:space="0" w:color="auto"/>
            <w:right w:val="none" w:sz="0" w:space="0" w:color="auto"/>
          </w:divBdr>
        </w:div>
        <w:div w:id="802505864">
          <w:marLeft w:val="0"/>
          <w:marRight w:val="0"/>
          <w:marTop w:val="0"/>
          <w:marBottom w:val="0"/>
          <w:divBdr>
            <w:top w:val="none" w:sz="0" w:space="0" w:color="auto"/>
            <w:left w:val="none" w:sz="0" w:space="0" w:color="auto"/>
            <w:bottom w:val="none" w:sz="0" w:space="0" w:color="auto"/>
            <w:right w:val="none" w:sz="0" w:space="0" w:color="auto"/>
          </w:divBdr>
        </w:div>
        <w:div w:id="868954738">
          <w:marLeft w:val="0"/>
          <w:marRight w:val="0"/>
          <w:marTop w:val="0"/>
          <w:marBottom w:val="0"/>
          <w:divBdr>
            <w:top w:val="none" w:sz="0" w:space="0" w:color="auto"/>
            <w:left w:val="none" w:sz="0" w:space="0" w:color="auto"/>
            <w:bottom w:val="none" w:sz="0" w:space="0" w:color="auto"/>
            <w:right w:val="none" w:sz="0" w:space="0" w:color="auto"/>
          </w:divBdr>
        </w:div>
        <w:div w:id="1596089500">
          <w:marLeft w:val="0"/>
          <w:marRight w:val="0"/>
          <w:marTop w:val="0"/>
          <w:marBottom w:val="0"/>
          <w:divBdr>
            <w:top w:val="none" w:sz="0" w:space="0" w:color="auto"/>
            <w:left w:val="none" w:sz="0" w:space="0" w:color="auto"/>
            <w:bottom w:val="none" w:sz="0" w:space="0" w:color="auto"/>
            <w:right w:val="none" w:sz="0" w:space="0" w:color="auto"/>
          </w:divBdr>
        </w:div>
        <w:div w:id="1597400008">
          <w:marLeft w:val="0"/>
          <w:marRight w:val="0"/>
          <w:marTop w:val="0"/>
          <w:marBottom w:val="0"/>
          <w:divBdr>
            <w:top w:val="none" w:sz="0" w:space="0" w:color="auto"/>
            <w:left w:val="none" w:sz="0" w:space="0" w:color="auto"/>
            <w:bottom w:val="none" w:sz="0" w:space="0" w:color="auto"/>
            <w:right w:val="none" w:sz="0" w:space="0" w:color="auto"/>
          </w:divBdr>
        </w:div>
        <w:div w:id="1655446373">
          <w:marLeft w:val="0"/>
          <w:marRight w:val="0"/>
          <w:marTop w:val="0"/>
          <w:marBottom w:val="0"/>
          <w:divBdr>
            <w:top w:val="none" w:sz="0" w:space="0" w:color="auto"/>
            <w:left w:val="none" w:sz="0" w:space="0" w:color="auto"/>
            <w:bottom w:val="none" w:sz="0" w:space="0" w:color="auto"/>
            <w:right w:val="none" w:sz="0" w:space="0" w:color="auto"/>
          </w:divBdr>
        </w:div>
        <w:div w:id="1683388699">
          <w:marLeft w:val="0"/>
          <w:marRight w:val="0"/>
          <w:marTop w:val="0"/>
          <w:marBottom w:val="0"/>
          <w:divBdr>
            <w:top w:val="none" w:sz="0" w:space="0" w:color="auto"/>
            <w:left w:val="none" w:sz="0" w:space="0" w:color="auto"/>
            <w:bottom w:val="none" w:sz="0" w:space="0" w:color="auto"/>
            <w:right w:val="none" w:sz="0" w:space="0" w:color="auto"/>
          </w:divBdr>
        </w:div>
        <w:div w:id="1797481193">
          <w:marLeft w:val="0"/>
          <w:marRight w:val="0"/>
          <w:marTop w:val="0"/>
          <w:marBottom w:val="0"/>
          <w:divBdr>
            <w:top w:val="none" w:sz="0" w:space="0" w:color="auto"/>
            <w:left w:val="none" w:sz="0" w:space="0" w:color="auto"/>
            <w:bottom w:val="none" w:sz="0" w:space="0" w:color="auto"/>
            <w:right w:val="none" w:sz="0" w:space="0" w:color="auto"/>
          </w:divBdr>
        </w:div>
      </w:divsChild>
    </w:div>
    <w:div w:id="1512915709">
      <w:bodyDiv w:val="1"/>
      <w:marLeft w:val="0"/>
      <w:marRight w:val="0"/>
      <w:marTop w:val="0"/>
      <w:marBottom w:val="0"/>
      <w:divBdr>
        <w:top w:val="none" w:sz="0" w:space="0" w:color="auto"/>
        <w:left w:val="none" w:sz="0" w:space="0" w:color="auto"/>
        <w:bottom w:val="none" w:sz="0" w:space="0" w:color="auto"/>
        <w:right w:val="none" w:sz="0" w:space="0" w:color="auto"/>
      </w:divBdr>
      <w:divsChild>
        <w:div w:id="483812955">
          <w:marLeft w:val="180"/>
          <w:marRight w:val="420"/>
          <w:marTop w:val="0"/>
          <w:marBottom w:val="0"/>
          <w:divBdr>
            <w:top w:val="none" w:sz="0" w:space="0" w:color="auto"/>
            <w:left w:val="none" w:sz="0" w:space="0" w:color="auto"/>
            <w:bottom w:val="none" w:sz="0" w:space="0" w:color="auto"/>
            <w:right w:val="none" w:sz="0" w:space="0" w:color="auto"/>
          </w:divBdr>
          <w:divsChild>
            <w:div w:id="953900276">
              <w:marLeft w:val="0"/>
              <w:marRight w:val="0"/>
              <w:marTop w:val="0"/>
              <w:marBottom w:val="120"/>
              <w:divBdr>
                <w:top w:val="none" w:sz="0" w:space="0" w:color="auto"/>
                <w:left w:val="none" w:sz="0" w:space="0" w:color="auto"/>
                <w:bottom w:val="none" w:sz="0" w:space="0" w:color="auto"/>
                <w:right w:val="none" w:sz="0" w:space="0" w:color="auto"/>
              </w:divBdr>
              <w:divsChild>
                <w:div w:id="4265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5606">
          <w:marLeft w:val="180"/>
          <w:marRight w:val="420"/>
          <w:marTop w:val="45"/>
          <w:marBottom w:val="0"/>
          <w:divBdr>
            <w:top w:val="none" w:sz="0" w:space="0" w:color="auto"/>
            <w:left w:val="none" w:sz="0" w:space="0" w:color="auto"/>
            <w:bottom w:val="none" w:sz="0" w:space="0" w:color="auto"/>
            <w:right w:val="none" w:sz="0" w:space="0" w:color="auto"/>
          </w:divBdr>
          <w:divsChild>
            <w:div w:id="418871575">
              <w:marLeft w:val="0"/>
              <w:marRight w:val="0"/>
              <w:marTop w:val="75"/>
              <w:marBottom w:val="0"/>
              <w:divBdr>
                <w:top w:val="none" w:sz="0" w:space="0" w:color="auto"/>
                <w:left w:val="none" w:sz="0" w:space="0" w:color="auto"/>
                <w:bottom w:val="none" w:sz="0" w:space="0" w:color="auto"/>
                <w:right w:val="none" w:sz="0" w:space="0" w:color="auto"/>
              </w:divBdr>
              <w:divsChild>
                <w:div w:id="1515803791">
                  <w:marLeft w:val="0"/>
                  <w:marRight w:val="0"/>
                  <w:marTop w:val="75"/>
                  <w:marBottom w:val="0"/>
                  <w:divBdr>
                    <w:top w:val="none" w:sz="0" w:space="0" w:color="auto"/>
                    <w:left w:val="none" w:sz="0" w:space="0" w:color="auto"/>
                    <w:bottom w:val="none" w:sz="0" w:space="0" w:color="auto"/>
                    <w:right w:val="none" w:sz="0" w:space="0" w:color="auto"/>
                  </w:divBdr>
                  <w:divsChild>
                    <w:div w:id="44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4666">
              <w:marLeft w:val="0"/>
              <w:marRight w:val="750"/>
              <w:marTop w:val="0"/>
              <w:marBottom w:val="0"/>
              <w:divBdr>
                <w:top w:val="none" w:sz="0" w:space="0" w:color="auto"/>
                <w:left w:val="none" w:sz="0" w:space="0" w:color="auto"/>
                <w:bottom w:val="none" w:sz="0" w:space="0" w:color="auto"/>
                <w:right w:val="none" w:sz="0" w:space="0" w:color="auto"/>
              </w:divBdr>
              <w:divsChild>
                <w:div w:id="638925737">
                  <w:marLeft w:val="0"/>
                  <w:marRight w:val="0"/>
                  <w:marTop w:val="0"/>
                  <w:marBottom w:val="0"/>
                  <w:divBdr>
                    <w:top w:val="none" w:sz="0" w:space="0" w:color="auto"/>
                    <w:left w:val="none" w:sz="0" w:space="0" w:color="auto"/>
                    <w:bottom w:val="none" w:sz="0" w:space="0" w:color="auto"/>
                    <w:right w:val="none" w:sz="0" w:space="0" w:color="auto"/>
                  </w:divBdr>
                  <w:divsChild>
                    <w:div w:id="1627198583">
                      <w:marLeft w:val="0"/>
                      <w:marRight w:val="0"/>
                      <w:marTop w:val="0"/>
                      <w:marBottom w:val="0"/>
                      <w:divBdr>
                        <w:top w:val="none" w:sz="0" w:space="0" w:color="auto"/>
                        <w:left w:val="none" w:sz="0" w:space="0" w:color="auto"/>
                        <w:bottom w:val="none" w:sz="0" w:space="0" w:color="auto"/>
                        <w:right w:val="none" w:sz="0" w:space="0" w:color="auto"/>
                      </w:divBdr>
                      <w:divsChild>
                        <w:div w:id="8434744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594492">
      <w:bodyDiv w:val="1"/>
      <w:marLeft w:val="0"/>
      <w:marRight w:val="0"/>
      <w:marTop w:val="0"/>
      <w:marBottom w:val="0"/>
      <w:divBdr>
        <w:top w:val="none" w:sz="0" w:space="0" w:color="auto"/>
        <w:left w:val="none" w:sz="0" w:space="0" w:color="auto"/>
        <w:bottom w:val="none" w:sz="0" w:space="0" w:color="auto"/>
        <w:right w:val="none" w:sz="0" w:space="0" w:color="auto"/>
      </w:divBdr>
      <w:divsChild>
        <w:div w:id="264844435">
          <w:marLeft w:val="640"/>
          <w:marRight w:val="0"/>
          <w:marTop w:val="0"/>
          <w:marBottom w:val="0"/>
          <w:divBdr>
            <w:top w:val="none" w:sz="0" w:space="0" w:color="auto"/>
            <w:left w:val="none" w:sz="0" w:space="0" w:color="auto"/>
            <w:bottom w:val="none" w:sz="0" w:space="0" w:color="auto"/>
            <w:right w:val="none" w:sz="0" w:space="0" w:color="auto"/>
          </w:divBdr>
        </w:div>
        <w:div w:id="2004239417">
          <w:marLeft w:val="640"/>
          <w:marRight w:val="0"/>
          <w:marTop w:val="0"/>
          <w:marBottom w:val="0"/>
          <w:divBdr>
            <w:top w:val="none" w:sz="0" w:space="0" w:color="auto"/>
            <w:left w:val="none" w:sz="0" w:space="0" w:color="auto"/>
            <w:bottom w:val="none" w:sz="0" w:space="0" w:color="auto"/>
            <w:right w:val="none" w:sz="0" w:space="0" w:color="auto"/>
          </w:divBdr>
        </w:div>
        <w:div w:id="1351224055">
          <w:marLeft w:val="640"/>
          <w:marRight w:val="0"/>
          <w:marTop w:val="0"/>
          <w:marBottom w:val="0"/>
          <w:divBdr>
            <w:top w:val="none" w:sz="0" w:space="0" w:color="auto"/>
            <w:left w:val="none" w:sz="0" w:space="0" w:color="auto"/>
            <w:bottom w:val="none" w:sz="0" w:space="0" w:color="auto"/>
            <w:right w:val="none" w:sz="0" w:space="0" w:color="auto"/>
          </w:divBdr>
        </w:div>
        <w:div w:id="1068848511">
          <w:marLeft w:val="640"/>
          <w:marRight w:val="0"/>
          <w:marTop w:val="0"/>
          <w:marBottom w:val="0"/>
          <w:divBdr>
            <w:top w:val="none" w:sz="0" w:space="0" w:color="auto"/>
            <w:left w:val="none" w:sz="0" w:space="0" w:color="auto"/>
            <w:bottom w:val="none" w:sz="0" w:space="0" w:color="auto"/>
            <w:right w:val="none" w:sz="0" w:space="0" w:color="auto"/>
          </w:divBdr>
        </w:div>
        <w:div w:id="2060662677">
          <w:marLeft w:val="640"/>
          <w:marRight w:val="0"/>
          <w:marTop w:val="0"/>
          <w:marBottom w:val="0"/>
          <w:divBdr>
            <w:top w:val="none" w:sz="0" w:space="0" w:color="auto"/>
            <w:left w:val="none" w:sz="0" w:space="0" w:color="auto"/>
            <w:bottom w:val="none" w:sz="0" w:space="0" w:color="auto"/>
            <w:right w:val="none" w:sz="0" w:space="0" w:color="auto"/>
          </w:divBdr>
        </w:div>
      </w:divsChild>
    </w:div>
    <w:div w:id="1608387021">
      <w:bodyDiv w:val="1"/>
      <w:marLeft w:val="0"/>
      <w:marRight w:val="0"/>
      <w:marTop w:val="0"/>
      <w:marBottom w:val="0"/>
      <w:divBdr>
        <w:top w:val="none" w:sz="0" w:space="0" w:color="auto"/>
        <w:left w:val="none" w:sz="0" w:space="0" w:color="auto"/>
        <w:bottom w:val="none" w:sz="0" w:space="0" w:color="auto"/>
        <w:right w:val="none" w:sz="0" w:space="0" w:color="auto"/>
      </w:divBdr>
      <w:divsChild>
        <w:div w:id="1073625079">
          <w:marLeft w:val="640"/>
          <w:marRight w:val="0"/>
          <w:marTop w:val="0"/>
          <w:marBottom w:val="0"/>
          <w:divBdr>
            <w:top w:val="none" w:sz="0" w:space="0" w:color="auto"/>
            <w:left w:val="none" w:sz="0" w:space="0" w:color="auto"/>
            <w:bottom w:val="none" w:sz="0" w:space="0" w:color="auto"/>
            <w:right w:val="none" w:sz="0" w:space="0" w:color="auto"/>
          </w:divBdr>
        </w:div>
        <w:div w:id="560022587">
          <w:marLeft w:val="640"/>
          <w:marRight w:val="0"/>
          <w:marTop w:val="0"/>
          <w:marBottom w:val="0"/>
          <w:divBdr>
            <w:top w:val="none" w:sz="0" w:space="0" w:color="auto"/>
            <w:left w:val="none" w:sz="0" w:space="0" w:color="auto"/>
            <w:bottom w:val="none" w:sz="0" w:space="0" w:color="auto"/>
            <w:right w:val="none" w:sz="0" w:space="0" w:color="auto"/>
          </w:divBdr>
        </w:div>
        <w:div w:id="874074176">
          <w:marLeft w:val="640"/>
          <w:marRight w:val="0"/>
          <w:marTop w:val="0"/>
          <w:marBottom w:val="0"/>
          <w:divBdr>
            <w:top w:val="none" w:sz="0" w:space="0" w:color="auto"/>
            <w:left w:val="none" w:sz="0" w:space="0" w:color="auto"/>
            <w:bottom w:val="none" w:sz="0" w:space="0" w:color="auto"/>
            <w:right w:val="none" w:sz="0" w:space="0" w:color="auto"/>
          </w:divBdr>
        </w:div>
        <w:div w:id="1002318109">
          <w:marLeft w:val="640"/>
          <w:marRight w:val="0"/>
          <w:marTop w:val="0"/>
          <w:marBottom w:val="0"/>
          <w:divBdr>
            <w:top w:val="none" w:sz="0" w:space="0" w:color="auto"/>
            <w:left w:val="none" w:sz="0" w:space="0" w:color="auto"/>
            <w:bottom w:val="none" w:sz="0" w:space="0" w:color="auto"/>
            <w:right w:val="none" w:sz="0" w:space="0" w:color="auto"/>
          </w:divBdr>
        </w:div>
        <w:div w:id="1307665756">
          <w:marLeft w:val="640"/>
          <w:marRight w:val="0"/>
          <w:marTop w:val="0"/>
          <w:marBottom w:val="0"/>
          <w:divBdr>
            <w:top w:val="none" w:sz="0" w:space="0" w:color="auto"/>
            <w:left w:val="none" w:sz="0" w:space="0" w:color="auto"/>
            <w:bottom w:val="none" w:sz="0" w:space="0" w:color="auto"/>
            <w:right w:val="none" w:sz="0" w:space="0" w:color="auto"/>
          </w:divBdr>
        </w:div>
        <w:div w:id="518854737">
          <w:marLeft w:val="640"/>
          <w:marRight w:val="0"/>
          <w:marTop w:val="0"/>
          <w:marBottom w:val="0"/>
          <w:divBdr>
            <w:top w:val="none" w:sz="0" w:space="0" w:color="auto"/>
            <w:left w:val="none" w:sz="0" w:space="0" w:color="auto"/>
            <w:bottom w:val="none" w:sz="0" w:space="0" w:color="auto"/>
            <w:right w:val="none" w:sz="0" w:space="0" w:color="auto"/>
          </w:divBdr>
        </w:div>
        <w:div w:id="1483693041">
          <w:marLeft w:val="640"/>
          <w:marRight w:val="0"/>
          <w:marTop w:val="0"/>
          <w:marBottom w:val="0"/>
          <w:divBdr>
            <w:top w:val="none" w:sz="0" w:space="0" w:color="auto"/>
            <w:left w:val="none" w:sz="0" w:space="0" w:color="auto"/>
            <w:bottom w:val="none" w:sz="0" w:space="0" w:color="auto"/>
            <w:right w:val="none" w:sz="0" w:space="0" w:color="auto"/>
          </w:divBdr>
        </w:div>
      </w:divsChild>
    </w:div>
    <w:div w:id="1727600851">
      <w:bodyDiv w:val="1"/>
      <w:marLeft w:val="0"/>
      <w:marRight w:val="0"/>
      <w:marTop w:val="0"/>
      <w:marBottom w:val="0"/>
      <w:divBdr>
        <w:top w:val="none" w:sz="0" w:space="0" w:color="auto"/>
        <w:left w:val="none" w:sz="0" w:space="0" w:color="auto"/>
        <w:bottom w:val="none" w:sz="0" w:space="0" w:color="auto"/>
        <w:right w:val="none" w:sz="0" w:space="0" w:color="auto"/>
      </w:divBdr>
    </w:div>
    <w:div w:id="1775442591">
      <w:bodyDiv w:val="1"/>
      <w:marLeft w:val="0"/>
      <w:marRight w:val="0"/>
      <w:marTop w:val="0"/>
      <w:marBottom w:val="0"/>
      <w:divBdr>
        <w:top w:val="none" w:sz="0" w:space="0" w:color="auto"/>
        <w:left w:val="none" w:sz="0" w:space="0" w:color="auto"/>
        <w:bottom w:val="none" w:sz="0" w:space="0" w:color="auto"/>
        <w:right w:val="none" w:sz="0" w:space="0" w:color="auto"/>
      </w:divBdr>
    </w:div>
    <w:div w:id="1850369439">
      <w:bodyDiv w:val="1"/>
      <w:marLeft w:val="0"/>
      <w:marRight w:val="0"/>
      <w:marTop w:val="0"/>
      <w:marBottom w:val="0"/>
      <w:divBdr>
        <w:top w:val="none" w:sz="0" w:space="0" w:color="auto"/>
        <w:left w:val="none" w:sz="0" w:space="0" w:color="auto"/>
        <w:bottom w:val="none" w:sz="0" w:space="0" w:color="auto"/>
        <w:right w:val="none" w:sz="0" w:space="0" w:color="auto"/>
      </w:divBdr>
    </w:div>
    <w:div w:id="1884756799">
      <w:bodyDiv w:val="1"/>
      <w:marLeft w:val="0"/>
      <w:marRight w:val="0"/>
      <w:marTop w:val="0"/>
      <w:marBottom w:val="0"/>
      <w:divBdr>
        <w:top w:val="none" w:sz="0" w:space="0" w:color="auto"/>
        <w:left w:val="none" w:sz="0" w:space="0" w:color="auto"/>
        <w:bottom w:val="none" w:sz="0" w:space="0" w:color="auto"/>
        <w:right w:val="none" w:sz="0" w:space="0" w:color="auto"/>
      </w:divBdr>
    </w:div>
    <w:div w:id="1900897652">
      <w:bodyDiv w:val="1"/>
      <w:marLeft w:val="0"/>
      <w:marRight w:val="0"/>
      <w:marTop w:val="0"/>
      <w:marBottom w:val="0"/>
      <w:divBdr>
        <w:top w:val="none" w:sz="0" w:space="0" w:color="auto"/>
        <w:left w:val="none" w:sz="0" w:space="0" w:color="auto"/>
        <w:bottom w:val="none" w:sz="0" w:space="0" w:color="auto"/>
        <w:right w:val="none" w:sz="0" w:space="0" w:color="auto"/>
      </w:divBdr>
      <w:divsChild>
        <w:div w:id="307830756">
          <w:marLeft w:val="640"/>
          <w:marRight w:val="0"/>
          <w:marTop w:val="0"/>
          <w:marBottom w:val="0"/>
          <w:divBdr>
            <w:top w:val="none" w:sz="0" w:space="0" w:color="auto"/>
            <w:left w:val="none" w:sz="0" w:space="0" w:color="auto"/>
            <w:bottom w:val="none" w:sz="0" w:space="0" w:color="auto"/>
            <w:right w:val="none" w:sz="0" w:space="0" w:color="auto"/>
          </w:divBdr>
        </w:div>
        <w:div w:id="2039163048">
          <w:marLeft w:val="640"/>
          <w:marRight w:val="0"/>
          <w:marTop w:val="0"/>
          <w:marBottom w:val="0"/>
          <w:divBdr>
            <w:top w:val="none" w:sz="0" w:space="0" w:color="auto"/>
            <w:left w:val="none" w:sz="0" w:space="0" w:color="auto"/>
            <w:bottom w:val="none" w:sz="0" w:space="0" w:color="auto"/>
            <w:right w:val="none" w:sz="0" w:space="0" w:color="auto"/>
          </w:divBdr>
        </w:div>
        <w:div w:id="1057900796">
          <w:marLeft w:val="640"/>
          <w:marRight w:val="0"/>
          <w:marTop w:val="0"/>
          <w:marBottom w:val="0"/>
          <w:divBdr>
            <w:top w:val="none" w:sz="0" w:space="0" w:color="auto"/>
            <w:left w:val="none" w:sz="0" w:space="0" w:color="auto"/>
            <w:bottom w:val="none" w:sz="0" w:space="0" w:color="auto"/>
            <w:right w:val="none" w:sz="0" w:space="0" w:color="auto"/>
          </w:divBdr>
        </w:div>
        <w:div w:id="421993091">
          <w:marLeft w:val="640"/>
          <w:marRight w:val="0"/>
          <w:marTop w:val="0"/>
          <w:marBottom w:val="0"/>
          <w:divBdr>
            <w:top w:val="none" w:sz="0" w:space="0" w:color="auto"/>
            <w:left w:val="none" w:sz="0" w:space="0" w:color="auto"/>
            <w:bottom w:val="none" w:sz="0" w:space="0" w:color="auto"/>
            <w:right w:val="none" w:sz="0" w:space="0" w:color="auto"/>
          </w:divBdr>
        </w:div>
        <w:div w:id="500699687">
          <w:marLeft w:val="640"/>
          <w:marRight w:val="0"/>
          <w:marTop w:val="0"/>
          <w:marBottom w:val="0"/>
          <w:divBdr>
            <w:top w:val="none" w:sz="0" w:space="0" w:color="auto"/>
            <w:left w:val="none" w:sz="0" w:space="0" w:color="auto"/>
            <w:bottom w:val="none" w:sz="0" w:space="0" w:color="auto"/>
            <w:right w:val="none" w:sz="0" w:space="0" w:color="auto"/>
          </w:divBdr>
        </w:div>
      </w:divsChild>
    </w:div>
    <w:div w:id="1940527624">
      <w:bodyDiv w:val="1"/>
      <w:marLeft w:val="0"/>
      <w:marRight w:val="0"/>
      <w:marTop w:val="0"/>
      <w:marBottom w:val="0"/>
      <w:divBdr>
        <w:top w:val="none" w:sz="0" w:space="0" w:color="auto"/>
        <w:left w:val="none" w:sz="0" w:space="0" w:color="auto"/>
        <w:bottom w:val="none" w:sz="0" w:space="0" w:color="auto"/>
        <w:right w:val="none" w:sz="0" w:space="0" w:color="auto"/>
      </w:divBdr>
    </w:div>
    <w:div w:id="1968386703">
      <w:bodyDiv w:val="1"/>
      <w:marLeft w:val="0"/>
      <w:marRight w:val="0"/>
      <w:marTop w:val="0"/>
      <w:marBottom w:val="0"/>
      <w:divBdr>
        <w:top w:val="none" w:sz="0" w:space="0" w:color="auto"/>
        <w:left w:val="none" w:sz="0" w:space="0" w:color="auto"/>
        <w:bottom w:val="none" w:sz="0" w:space="0" w:color="auto"/>
        <w:right w:val="none" w:sz="0" w:space="0" w:color="auto"/>
      </w:divBdr>
    </w:div>
    <w:div w:id="2130708316">
      <w:bodyDiv w:val="1"/>
      <w:marLeft w:val="0"/>
      <w:marRight w:val="0"/>
      <w:marTop w:val="0"/>
      <w:marBottom w:val="0"/>
      <w:divBdr>
        <w:top w:val="none" w:sz="0" w:space="0" w:color="auto"/>
        <w:left w:val="none" w:sz="0" w:space="0" w:color="auto"/>
        <w:bottom w:val="none" w:sz="0" w:space="0" w:color="auto"/>
        <w:right w:val="none" w:sz="0" w:space="0" w:color="auto"/>
      </w:divBdr>
      <w:divsChild>
        <w:div w:id="1861813576">
          <w:marLeft w:val="640"/>
          <w:marRight w:val="0"/>
          <w:marTop w:val="0"/>
          <w:marBottom w:val="0"/>
          <w:divBdr>
            <w:top w:val="none" w:sz="0" w:space="0" w:color="auto"/>
            <w:left w:val="none" w:sz="0" w:space="0" w:color="auto"/>
            <w:bottom w:val="none" w:sz="0" w:space="0" w:color="auto"/>
            <w:right w:val="none" w:sz="0" w:space="0" w:color="auto"/>
          </w:divBdr>
        </w:div>
        <w:div w:id="417868579">
          <w:marLeft w:val="640"/>
          <w:marRight w:val="0"/>
          <w:marTop w:val="0"/>
          <w:marBottom w:val="0"/>
          <w:divBdr>
            <w:top w:val="none" w:sz="0" w:space="0" w:color="auto"/>
            <w:left w:val="none" w:sz="0" w:space="0" w:color="auto"/>
            <w:bottom w:val="none" w:sz="0" w:space="0" w:color="auto"/>
            <w:right w:val="none" w:sz="0" w:space="0" w:color="auto"/>
          </w:divBdr>
        </w:div>
      </w:divsChild>
    </w:div>
    <w:div w:id="2138600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3.jpg@01D0566D.120C3BC0"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87A6E39-E171-416B-B6B9-244A0B8AD56D}"/>
      </w:docPartPr>
      <w:docPartBody>
        <w:p w:rsidR="009D7C68" w:rsidRDefault="00304AFD">
          <w:r w:rsidRPr="00777A6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FD"/>
    <w:rsid w:val="000E21AD"/>
    <w:rsid w:val="0013554B"/>
    <w:rsid w:val="001A3A84"/>
    <w:rsid w:val="00304AFD"/>
    <w:rsid w:val="003F2AAF"/>
    <w:rsid w:val="00452BD4"/>
    <w:rsid w:val="004D26EE"/>
    <w:rsid w:val="006D4D24"/>
    <w:rsid w:val="007D23D3"/>
    <w:rsid w:val="00904FD4"/>
    <w:rsid w:val="009824FF"/>
    <w:rsid w:val="009D7C68"/>
    <w:rsid w:val="00A05D6B"/>
    <w:rsid w:val="00A20816"/>
    <w:rsid w:val="00A76DD3"/>
    <w:rsid w:val="00B16BB6"/>
    <w:rsid w:val="00B4195D"/>
    <w:rsid w:val="00B75DD1"/>
    <w:rsid w:val="00BC3D92"/>
    <w:rsid w:val="00C371EC"/>
    <w:rsid w:val="00C80987"/>
    <w:rsid w:val="00D663F7"/>
    <w:rsid w:val="00DB3926"/>
    <w:rsid w:val="00EA79E9"/>
    <w:rsid w:val="00EB4DB9"/>
    <w:rsid w:val="00ED4F1D"/>
    <w:rsid w:val="00F233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33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27986E-2E5D-4E9B-B88B-C186E78445CE}">
  <we:reference id="wa104382081" version="1.55.1.0" store="es-ES" storeType="OMEX"/>
  <we:alternateReferences>
    <we:reference id="wa104382081" version="1.55.1.0" store="" storeType="OMEX"/>
  </we:alternateReferences>
  <we:properties>
    <we:property name="MENDELEY_CITATIONS_STYLE" value="{&quot;id&quot;:&quot;https://www.zotero.org/styles/ieee&quot;,&quot;title&quot;:&quot;IEEE&quot;,&quot;format&quot;:&quot;numeric&quot;,&quot;defaultLocale&quot;:null,&quot;isLocaleCodeValid&quot;:true}"/>
    <we:property name="MENDELEY_CITATIONS_LOCALE_CODE" value="&quot;es-MX&quot;"/>
    <we:property name="MENDELEY_CITATIONS" value="[{&quot;citationID&quot;:&quot;MENDELEY_CITATION_38518f26-6924-4501-8b91-267c8b5797c2&quot;,&quot;properties&quot;:{&quot;noteIndex&quot;:0},&quot;isEdited&quot;:false,&quot;manualOverride&quot;:{&quot;isManuallyOverridden&quot;:false,&quot;citeprocText&quot;:&quot;[1]&quot;,&quot;manualOverrideText&quot;:&quot;&quot;},&quot;citationTag&quot;:&quot;MENDELEY_CITATION_v3_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&quot;,&quot;citationItems&quot;:[{&quot;id&quot;:&quot;77a4cc24-7a2c-3788-b13a-138f23f0e4fa&quot;,&quot;itemData&quot;:{&quot;type&quot;:&quot;report&quot;,&quot;id&quot;:&quot;77a4cc24-7a2c-3788-b13a-138f23f0e4fa&quot;,&quot;title&quot;:&quot;Reducción de las Emisiones de Metano: Guía de mejores prácticas&quot;,&quot;author&quot;:[{&quot;family&quot;:&quot;Methane Guiding Principles.&quot;,&quot;given&quot;:&quot;&quot;,&quot;parse-names&quot;:false,&quot;dropping-particle&quot;:&quot;&quot;,&quot;non-dropping-particle&quot;:&quot;&quot;}],&quot;issued&quot;:{&quot;date-parts&quot;:[[2019]]},&quot;abstract&quot;:&quot;Este documento ha sido desarrollado por la iniciativa Methane Guiding Principles. La Guía proporciona un resumen de las medidas de mitigación actuales, los costes y las tecnologías conocidas hasta la fecha de publicación, no obstante pueden modificarse o mejorarse con el tiempo. La información que se incluye refleja el conocimiento de los autores, sin embargo puede que no refleje el punto de vista o la posición de todos los miembros de la iniciativa Methane Guiding Principles. Así mismo los lectores deberán analizar la información proporcionada. No se otorga ninguna garantía sobre la integridad o exactitud de la información incluida en esta Guía por SLR International Corporation y sus contratistas, la iniciativa Methane Guiding Principles o sus miembros. Esta guía describe las acciones que una compañía puede llevar a cabo para mejorar la gestión de sus emisiones de metano. Estas acciones o recomendaciones no son obligatorias y para cada caso en particular puede haber otras alternativas más efectivas. Lo que las empresas decidan hacer dependerá de las circunstancias, del riesgo que conlleva implementar esa gestión y del régimen legal aplicable. Contenidos&quot;,&quot;container-title-short&quot;:&quot;&quot;},&quot;isTemporary&quot;:false}]},{&quot;citationID&quot;:&quot;MENDELEY_CITATION_0d21146b-1456-450a-96fb-19721ca0bfa7&quot;,&quot;properties&quot;:{&quot;noteIndex&quot;:0},&quot;isEdited&quot;:false,&quot;manualOverride&quot;:{&quot;isManuallyOverridden&quot;:false,&quot;citeprocText&quot;:&quot;[2]&quot;,&quot;manualOverrideText&quot;:&quot;&quot;},&quot;citationTag&quot;:&quot;MENDELEY_CITATION_v3_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&quot;,&quot;citationItems&quot;:[{&quot;id&quot;:&quot;32f497c6-ee75-3f57-bcd8-082d39bb0923&quot;,&quot;itemData&quot;:{&quot;type&quot;:&quot;article-journal&quot;,&quot;id&quot;:&quot;32f497c6-ee75-3f57-bcd8-082d39bb0923&quot;,&quot;title&quot;:&quot;Application of the Carbon Balance Method to Flare Emissions Characteristics&quot;,&quot;author&quot;:[{&quot;family&quot;:&quot;Herndon&quot;,&quot;given&quot;:&quot;Scott C&quot;,&quot;parse-names&quot;:false,&quot;dropping-particle&quot;:&quot;&quot;,&quot;non-dropping-particle&quot;:&quot;&quot;},{&quot;family&quot;:&quot;Nelson&quot;,&quot;given&quot;:&quot;David D Jr.&quot;,&quot;parse-names&quot;:false,&quot;dropping-particle&quot;:&quot;&quot;,&quot;non-dropping-particle&quot;:&quot;&quot;},{&quot;family&quot;:&quot;Wood&quot;,&quot;given&quot;:&quot;Ezra C&quot;,&quot;parse-names&quot;:false,&quot;dropping-particle&quot;:&quot;&quot;,&quot;non-dropping-particle&quot;:&quot;&quot;},{&quot;family&quot;:&quot;Knighton&quot;,&quot;given&quot;:&quot;W Berk&quot;,&quot;parse-names&quot;:false,&quot;dropping-particle&quot;:&quot;&quot;,&quot;non-dropping-particle&quot;:&quot;&quot;},{&quot;family&quot;:&quot;Kolb&quot;,&quot;given&quot;:&quot;Charles E&quot;,&quot;parse-names&quot;:false,&quot;dropping-particle&quot;:&quot;&quot;,&quot;non-dropping-particle&quot;:&quot;&quot;},{&quot;family&quot;:&quot;Kodesh&quot;,&quot;given&quot;:&quot;Zach&quot;,&quot;parse-names&quot;:false,&quot;dropping-particle&quot;:&quot;&quot;,&quot;non-dropping-particle&quot;:&quot;&quot;},{&quot;family&quot;:&quot;Torres&quot;,&quot;given&quot;:&quot;Vincent M&quot;,&quot;parse-names&quot;:false,&quot;dropping-particle&quot;:&quot;&quot;,&quot;non-dropping-particle&quot;:&quot;&quot;},{&quot;family&quot;:&quot;Allen&quot;,&quot;given&quot;:&quot;David T&quot;,&quot;parse-names&quot;:false,&quot;dropping-particle&quot;:&quot;&quot;,&quot;non-dropping-particle&quot;:&quot;&quot;}],&quot;container-title&quot;:&quot;Industrial &amp; Engineering Chemistry Research&quot;,&quot;container-title-short&quot;:&quot;Ind Eng Chem Res&quot;,&quot;DOI&quot;:&quot;10.1021/ie202676b&quot;,&quot;ISSN&quot;:&quot;0888-5885&quot;,&quot;URL&quot;:&quot;https://doi.org/10.1021/ie202676b&quot;,&quot;issued&quot;:{&quot;date-parts&quot;:[[2012,10,3]]},&quot;page&quot;:&quot;12577-12585&quot;,&quot;publisher&quot;:&quot;American Chemical Society&quot;,&quot;issue&quot;:&quot;39&quot;,&quot;volume&quot;:&quot;51&quot;},&quot;isTemporary&quot;:false}]},{&quot;citationID&quot;:&quot;MENDELEY_CITATION_831267eb-6d38-4296-876d-e20c726d6227&quot;,&quot;properties&quot;:{&quot;noteIndex&quot;:0},&quot;isEdited&quot;:false,&quot;manualOverride&quot;:{&quot;isManuallyOverridden&quot;:false,&quot;citeprocText&quot;:&quot;[2]&quot;,&quot;manualOverrideText&quot;:&quot;&quot;},&quot;citationTag&quot;:&quot;MENDELEY_CITATION_v3_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&quot;,&quot;citationItems&quot;:[{&quot;id&quot;:&quot;32f497c6-ee75-3f57-bcd8-082d39bb0923&quot;,&quot;itemData&quot;:{&quot;type&quot;:&quot;article-journal&quot;,&quot;id&quot;:&quot;32f497c6-ee75-3f57-bcd8-082d39bb0923&quot;,&quot;title&quot;:&quot;Application of the Carbon Balance Method to Flare Emissions Characteristics&quot;,&quot;author&quot;:[{&quot;family&quot;:&quot;Herndon&quot;,&quot;given&quot;:&quot;Scott C&quot;,&quot;parse-names&quot;:false,&quot;dropping-particle&quot;:&quot;&quot;,&quot;non-dropping-particle&quot;:&quot;&quot;},{&quot;family&quot;:&quot;Nelson&quot;,&quot;given&quot;:&quot;David D Jr.&quot;,&quot;parse-names&quot;:false,&quot;dropping-particle&quot;:&quot;&quot;,&quot;non-dropping-particle&quot;:&quot;&quot;},{&quot;family&quot;:&quot;Wood&quot;,&quot;given&quot;:&quot;Ezra C&quot;,&quot;parse-names&quot;:false,&quot;dropping-particle&quot;:&quot;&quot;,&quot;non-dropping-particle&quot;:&quot;&quot;},{&quot;family&quot;:&quot;Knighton&quot;,&quot;given&quot;:&quot;W Berk&quot;,&quot;parse-names&quot;:false,&quot;dropping-particle&quot;:&quot;&quot;,&quot;non-dropping-particle&quot;:&quot;&quot;},{&quot;family&quot;:&quot;Kolb&quot;,&quot;given&quot;:&quot;Charles E&quot;,&quot;parse-names&quot;:false,&quot;dropping-particle&quot;:&quot;&quot;,&quot;non-dropping-particle&quot;:&quot;&quot;},{&quot;family&quot;:&quot;Kodesh&quot;,&quot;given&quot;:&quot;Zach&quot;,&quot;parse-names&quot;:false,&quot;dropping-particle&quot;:&quot;&quot;,&quot;non-dropping-particle&quot;:&quot;&quot;},{&quot;family&quot;:&quot;Torres&quot;,&quot;given&quot;:&quot;Vincent M&quot;,&quot;parse-names&quot;:false,&quot;dropping-particle&quot;:&quot;&quot;,&quot;non-dropping-particle&quot;:&quot;&quot;},{&quot;family&quot;:&quot;Allen&quot;,&quot;given&quot;:&quot;David T&quot;,&quot;parse-names&quot;:false,&quot;dropping-particle&quot;:&quot;&quot;,&quot;non-dropping-particle&quot;:&quot;&quot;}],&quot;container-title&quot;:&quot;Industrial &amp; Engineering Chemistry Research&quot;,&quot;container-title-short&quot;:&quot;Ind Eng Chem Res&quot;,&quot;DOI&quot;:&quot;10.1021/ie202676b&quot;,&quot;ISSN&quot;:&quot;0888-5885&quot;,&quot;URL&quot;:&quot;https://doi.org/10.1021/ie202676b&quot;,&quot;issued&quot;:{&quot;date-parts&quot;:[[2012,10,3]]},&quot;page&quot;:&quot;12577-12585&quot;,&quot;publisher&quot;:&quot;American Chemical Society&quot;,&quot;issue&quot;:&quot;39&quot;,&quot;volume&quot;:&quot;51&quot;},&quot;isTemporary&quot;:false}]},{&quot;citationID&quot;:&quot;MENDELEY_CITATION_7911d3a5-cbc7-4e89-9de7-6493221e3034&quot;,&quot;properties&quot;:{&quot;noteIndex&quot;:0},&quot;isEdited&quot;:false,&quot;manualOverride&quot;:{&quot;isManuallyOverridden&quot;:false,&quot;citeprocText&quot;:&quot;[3]&quot;,&quot;manualOverrideText&quot;:&quot;&quot;},&quot;citationTag&quot;:&quot;MENDELEY_CITATION_v3_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&quot;,&quot;citationItems&quot;:[{&quot;id&quot;:&quot;05c13e8a-6c73-3b81-87f5-ce46b58172c4&quot;,&quot;itemData&quot;:{&quot;type&quot;:&quot;article-journal&quot;,&quot;id&quot;:&quot;05c13e8a-6c73-3b81-87f5-ce46b58172c4&quot;,&quot;title&quot;:&quot;Información técnica sobre Gases de Efecto Invernadero y el cambio climático.&quot;,&quot;author&quot;:[{&quot;family&quot;:&quot;Benavides Ballesteros&quot;,&quot;given&quot;:&quot;Henry Oswal&quot;,&quot;parse-names&quot;:false,&quot;dropping-particle&quot;:&quot;&quot;,&quot;non-dropping-particle&quot;:&quot;&quot;},{&quot;family&quot;:&quot;León Aristizabal&quot;,&quot;given&quot;:&quot;Gloria Esperanza&quot;,&quot;parse-names&quot;:false,&quot;dropping-particle&quot;:&quot;&quot;,&quot;non-dropping-particle&quot;:&quot;&quot;}],&quot;container-title&quot;:&quot;Ideam&quot;,&quot;DOI&quot;:&quot;IDEAM–METEO/008-2007&quot;,&quot;ISBN&quot;:&quot;9789588067322&quot;,&quot;URL&quot;:&quot;www.ideam.gov.co/documents/21021/21138/Gases+de+Efecto+Invernadero+y+el+Cambio+Climatico.pdf&quot;,&quot;issued&quot;:{&quot;date-parts&quot;:[[2007]]},&quot;page&quot;:&quot;1-102&quot;,&quot;abstract&quot;:&quot;gases efecto inverdadero&quot;,&quot;container-title-short&quot;:&quot;&quot;},&quot;isTemporary&quot;:false}]},{&quot;citationID&quot;:&quot;MENDELEY_CITATION_18fae0ab-b766-414b-85f9-614ee836a7db&quot;,&quot;properties&quot;:{&quot;noteIndex&quot;:0},&quot;isEdited&quot;:false,&quot;manualOverride&quot;:{&quot;isManuallyOverridden&quot;:false,&quot;citeprocText&quot;:&quot;[4]&quot;,&quot;manualOverrideText&quot;:&quot;&quot;},&quot;citationTag&quot;:&quot;MENDELEY_CITATION_v3_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&quot;,&quot;citationItems&quot;:[{&quot;id&quot;:&quot;3809a6b3-13d4-3ff4-91e1-160a5bfac126&quot;,&quot;itemData&quot;:{&quot;type&quot;:&quot;webpage&quot;,&quot;id&quot;:&quot;3809a6b3-13d4-3ff4-91e1-160a5bfac126&quot;,&quot;title&quot;:&quot;RT.2.1 Gases de efecto invernadero&quot;,&quot;author&quot;:[{&quot;family&quot;:&quot;Intergovernmental Panel on Climate Change&quot;,&quot;given&quot;:&quot;&quot;,&quot;parse-names&quot;:false,&quot;dropping-particle&quot;:&quot;&quot;,&quot;non-dropping-particle&quot;:&quot;&quot;}],&quot;container-title&quot;:&quot;IPCC Fourth Assessment Report: Climate Change 2007&quot;,&quot;URL&quot;:&quot;https://archive.ipcc.ch/publications_and_data/ar4/wg1/es/tssts-2-1.html&quot;,&quot;container-title-short&quot;:&quot;&quot;},&quot;isTemporary&quot;:false}]},{&quot;citationID&quot;:&quot;MENDELEY_CITATION_30aaa89f-8115-4b8b-a449-0fde91fc5908&quot;,&quot;properties&quot;:{&quot;noteIndex&quot;:0},&quot;isEdited&quot;:false,&quot;manualOverride&quot;:{&quot;isManuallyOverridden&quot;:false,&quot;citeprocText&quot;:&quot;[5]&quot;,&quot;manualOverrideText&quot;:&quot;&quot;},&quot;citationTag&quot;:&quot;MENDELEY_CITATION_v3_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&quot;,&quot;citationItems&quot;:[{&quot;id&quot;:&quot;c0830e2e-211a-3cf5-a985-79d9f2032eaa&quot;,&quot;itemData&quot;:{&quot;type&quot;:&quot;report&quot;,&quot;id&quot;:&quot;c0830e2e-211a-3cf5-a985-79d9f2032eaa&quot;,&quot;title&quot;:&quot;COMPENDIUM OF GREENHOUSE GAS EMISSIONS METHODOLOGIES FOR THE NATURAL GAS AND OIL INDUSTRY&quot;,&quot;author&quot;:[{&quot;family&quot;:&quot;API&quot;,&quot;given&quot;:&quot;&quot;,&quot;parse-names&quot;:false,&quot;dropping-particle&quot;:&quot;&quot;,&quot;non-dropping-particle&quot;:&quot;&quot;}],&quot;issued&quot;:{&quot;date-parts&quot;:[[2021]]},&quot;container-title-short&quot;:&quot;&quot;},&quot;isTemporary&quot;:false}]},{&quot;citationID&quot;:&quot;MENDELEY_CITATION_98fbf253-0fcb-4c49-a604-bf5a04804f36&quot;,&quot;properties&quot;:{&quot;noteIndex&quot;:0},&quot;isEdited&quot;:false,&quot;manualOverride&quot;:{&quot;isManuallyOverridden&quot;:false,&quot;citeprocText&quot;:&quot;[6]&quot;,&quot;manualOverrideText&quot;:&quot;&quot;},&quot;citationTag&quot;:&quot;MENDELEY_CITATION_v3_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&quot;,&quot;citationItems&quot;:[{&quot;id&quot;:&quot;b69c908d-7323-3c09-9e3b-653460447004&quot;,&quot;itemData&quot;:{&quot;type&quot;:&quot;book&quot;,&quot;id&quot;:&quot;b69c908d-7323-3c09-9e3b-653460447004&quot;,&quot;title&quot;:&quot;Offshore flares: measurement and calculation of combustion efficiency, methane and CO2e emissions&quot;,&quot;author&quot;:[{&quot;family&quot;:&quot;Peebles&quot;,&quot;given&quot;:&quot;Bob&quot;,&quot;parse-names&quot;:false,&quot;dropping-particle&quot;:&quot;&quot;,&quot;non-dropping-particle&quot;:&quot;&quot;},{&quot;family&quot;:&quot;Esl&quot;,&quot;given&quot;:&quot;Accord&quot;,&quot;parse-names&quot;:false,&quot;dropping-particle&quot;:&quot;&quot;,&quot;non-dropping-particle&quot;:&quot;&quot;},{&quot;family&quot;:&quot;Stockton&quot;,&quot;given&quot;:&quot;Phil&quot;,&quot;parse-names&quot;:false,&quot;dropping-particle&quot;:&quot;&quot;,&quot;non-dropping-particle&quot;:&quot;&quot;}],&quot;issued&quot;:{&quot;date-parts&quot;:[[2022,10,26]]},&quot;container-title-short&quot;:&quot;&quot;},&quot;isTemporary&quot;:false}]},{&quot;citationID&quot;:&quot;MENDELEY_CITATION_c1c9fc86-f358-4434-847e-1f1ae95fd303&quot;,&quot;properties&quot;:{&quot;noteIndex&quot;:0},&quot;isEdited&quot;:false,&quot;manualOverride&quot;:{&quot;isManuallyOverridden&quot;:false,&quot;citeprocText&quot;:&quot;[6], [7]&quot;,&quot;manualOverrideText&quot;:&quot;&quot;},&quot;citationTag&quot;:&quot;MENDELEY_CITATION_v3_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&quot;,&quot;citationItems&quot;:[{&quot;id&quot;:&quot;5a5e1363-693b-3406-be76-d7d77b4521ee&quot;,&quot;itemData&quot;:{&quot;type&quot;:&quot;report&quot;,&quot;id&quot;:&quot;5a5e1363-693b-3406-be76-d7d77b4521ee&quot;,&quot;title&quot;:&quot;OGMP Technical Guidance Document-Flare Efficiency&quot;,&quot;author&quot;:[{&quot;family&quot;:&quot;Methane Guiding Principles&quot;,&quot;given&quot;:&quot;&quot;,&quot;parse-names&quot;:false,&quot;dropping-particle&quot;:&quot;&quot;,&quot;non-dropping-particle&quot;:&quot;&quot;}],&quot;issued&quot;:{&quot;date-parts&quot;:[[2021,6]]},&quot;abstract&quot;:&quot;Brief description of the source There are two types of flares, elevated and ground flares. Elevated flares are more common and typically have larger capacities than ground flares. In elevated flares, a waste gas stream is fed through a stack which can be up to 100 meters tall and is combusted at the tip of the stack. The flame is exposed to atmospheric disturbances such as wind and precipitation. In ground flares, combustion takes place at ground level and is almost always unassisted. Ground flares vary in complexity, and they may consist either of conventional flare burners without enclosures or of multiple burners in refractory-lined steel enclosures. The typical flare system consists of (1) a gas collection header and piping for collecting gases, (2) a knockout drum (dis-entrainment drum) to remove and store condensables and entrained liquids, (3) a proprietary seal, water seal, or purge gas supply to prevent flashback , (4) a single-or multiple-burner unit and a flare stack, (5) gas pilots and an ignitor to ignite the mixture of waste gas and air, and, if required, (6) a provision for external momentum force (steam injection or forced air) for smokeless flaring. Natural gas, fuel gas, or inert gas such as nitrogen can be used as purge gas. The flare system, together with the pressure relief system forms a critical part of the safety system and is designed to prevent escalation of accidents and dangerous situations. It is also used for the elimination of waste gas (i.e. gas from the process which is not recovered, such as dehydrator vents or compressor seal gas). Flaring, aside from portable flaring (see Scope boundaries), is rarely used in gas transmission, gas storage and gas distribution. Flaring can be either continuous, intermittent or released in a discrete batch when purposefully depressurizing equipment for maintenance (e.g. where equipment is depressurizedand a discrete volume of gas is sent to flare, linked to single events-pipeline maintenance, compressor station blowdown). Methane emissions from flares can arise for different reasons which can be classified in two categories (incomplete combustion and vented emissions): DISCLAIMER: The OGMP Technical Guidance Documents (TGD) describe the practice for methane emissions quantification, following the different OGMP levels, at the time of their publication, to the best knowledge of the authors. These are living documents and will be updated as practices evolve, and new data or technologies become available. The Framework (section 4.4) acknowledges that 'there may be challenges outside of an OGMP company's control, which prevent reporting at levels 4 or 5 for both operated or non-operated ventures within these timeframes (e.g. should an emerging technology to quantify methane emissions proves infeasible or unreliable). In these cases, if the relevant company can show that efforts consistent to [section 4.2.1 of The Framework] have been made to obtain and disclose methane emissions data at levels 4 or 5 then this shall be deemed to meet the reporting requirements and shall not impact the ability of the company to achieve or maintain gold standard'.&quot;,&quot;container-title-short&quot;:&quot;&quot;},&quot;isTemporary&quot;:false},{&quot;id&quot;:&quot;b69c908d-7323-3c09-9e3b-653460447004&quot;,&quot;itemData&quot;:{&quot;type&quot;:&quot;book&quot;,&quot;id&quot;:&quot;b69c908d-7323-3c09-9e3b-653460447004&quot;,&quot;title&quot;:&quot;Offshore flares: measurement and calculation of combustion efficiency, methane and CO2e emissions&quot;,&quot;author&quot;:[{&quot;family&quot;:&quot;Peebles&quot;,&quot;given&quot;:&quot;Bob&quot;,&quot;parse-names&quot;:false,&quot;dropping-particle&quot;:&quot;&quot;,&quot;non-dropping-particle&quot;:&quot;&quot;},{&quot;family&quot;:&quot;Esl&quot;,&quot;given&quot;:&quot;Accord&quot;,&quot;parse-names&quot;:false,&quot;dropping-particle&quot;:&quot;&quot;,&quot;non-dropping-particle&quot;:&quot;&quot;},{&quot;family&quot;:&quot;Stockton&quot;,&quot;given&quot;:&quot;Phil&quot;,&quot;parse-names&quot;:false,&quot;dropping-particle&quot;:&quot;&quot;,&quot;non-dropping-particle&quot;:&quot;&quot;}],&quot;issued&quot;:{&quot;date-parts&quot;:[[2022,10,26]]},&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7E460F7591BA49A1FFEA6B6B1B6EB4" ma:contentTypeVersion="14" ma:contentTypeDescription="Create a new document." ma:contentTypeScope="" ma:versionID="47e9e789f9203098938c358ee4debdf6">
  <xsd:schema xmlns:xsd="http://www.w3.org/2001/XMLSchema" xmlns:xs="http://www.w3.org/2001/XMLSchema" xmlns:p="http://schemas.microsoft.com/office/2006/metadata/properties" xmlns:ns3="3a0e2bac-7674-4840-a22e-43f7a33500a5" xmlns:ns4="5321b94e-27a5-45c2-b8df-5a0da6401cbd" targetNamespace="http://schemas.microsoft.com/office/2006/metadata/properties" ma:root="true" ma:fieldsID="500a867801c9969e5ed346e5b8a0a4e3" ns3:_="" ns4:_="">
    <xsd:import namespace="3a0e2bac-7674-4840-a22e-43f7a33500a5"/>
    <xsd:import namespace="5321b94e-27a5-45c2-b8df-5a0da6401c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e2bac-7674-4840-a22e-43f7a33500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1b94e-27a5-45c2-b8df-5a0da6401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Pee22</b:Tag>
    <b:SourceType>ConferenceProceedings</b:SourceType>
    <b:Guid>{5AEF0A5E-A77D-4EDB-89EB-F59E4632F40B}</b:Guid>
    <b:Title>Offshore flares: measurement and calculation of combustion efficiency, methane and CO2e emissions</b:Title>
    <b:Year>2022</b:Year>
    <b:City>Aberdeen</b:City>
    <b:Author>
      <b:Author>
        <b:NameList>
          <b:Person>
            <b:Last>Peebles</b:Last>
            <b:First>Bob</b:First>
          </b:Person>
          <b:Person>
            <b:Last>Esl</b:Last>
            <b:First>Accord</b:First>
          </b:Person>
          <b:Person>
            <b:Last>Stockton</b:Last>
            <b:First>Phil</b:First>
          </b:Person>
        </b:NameList>
      </b:Author>
    </b:Author>
    <b:ConferenceName>Global Flow Measurement Workshop 2022</b:ConferenceName>
    <b:RefOrder>1</b:RefOrder>
  </b:Source>
</b:Sources>
</file>

<file path=customXml/itemProps1.xml><?xml version="1.0" encoding="utf-8"?>
<ds:datastoreItem xmlns:ds="http://schemas.openxmlformats.org/officeDocument/2006/customXml" ds:itemID="{4E9AF1AA-2DCE-4ACA-BDD3-DEF7B0567F1F}">
  <ds:schemaRefs>
    <ds:schemaRef ds:uri="http://schemas.microsoft.com/sharepoint/v3/contenttype/forms"/>
  </ds:schemaRefs>
</ds:datastoreItem>
</file>

<file path=customXml/itemProps2.xml><?xml version="1.0" encoding="utf-8"?>
<ds:datastoreItem xmlns:ds="http://schemas.openxmlformats.org/officeDocument/2006/customXml" ds:itemID="{715F3A73-B0CE-4177-AB29-5F744345C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e2bac-7674-4840-a22e-43f7a33500a5"/>
    <ds:schemaRef ds:uri="5321b94e-27a5-45c2-b8df-5a0da6401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D3631-8205-4F4F-8141-5ED1981193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5715D0-9499-4CB8-A682-999A9F13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4540</Words>
  <Characters>24976</Characters>
  <Application>Microsoft Office Word</Application>
  <DocSecurity>0</DocSecurity>
  <Lines>208</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Galvis Lizarazo</dc:creator>
  <cp:keywords/>
  <dc:description/>
  <cp:lastModifiedBy>Yuber Rodriguez Arturo</cp:lastModifiedBy>
  <cp:revision>22</cp:revision>
  <cp:lastPrinted>2021-06-01T00:59:00Z</cp:lastPrinted>
  <dcterms:created xsi:type="dcterms:W3CDTF">2023-10-09T14:39:00Z</dcterms:created>
  <dcterms:modified xsi:type="dcterms:W3CDTF">2023-10-12T17:18:00Z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0x010100837E460F7591BA49A1FFEA6B6B1B6EB4</vt:lpwstr>
  </property>
</Properties>
</file>