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CDBD" w14:textId="77777777" w:rsidR="00C77788" w:rsidRDefault="00C77788" w:rsidP="00B37BA9">
      <w:pPr>
        <w:ind w:left="708"/>
        <w:rPr>
          <w:rFonts w:ascii="Arial" w:hAnsi="Arial" w:cs="Arial"/>
          <w:sz w:val="16"/>
          <w:szCs w:val="16"/>
        </w:rPr>
      </w:pPr>
    </w:p>
    <w:p w14:paraId="023EF427" w14:textId="77777777" w:rsidR="008C19CA" w:rsidRDefault="008C19CA" w:rsidP="008C19CA">
      <w:pPr>
        <w:ind w:left="708"/>
        <w:rPr>
          <w:rFonts w:ascii="Arial" w:hAnsi="Arial" w:cs="Arial"/>
          <w:sz w:val="16"/>
          <w:szCs w:val="16"/>
        </w:rPr>
      </w:pPr>
    </w:p>
    <w:p w14:paraId="799D0F8E" w14:textId="77777777" w:rsidR="008C19CA" w:rsidRDefault="008C19CA" w:rsidP="008C19CA">
      <w:pPr>
        <w:ind w:left="708"/>
        <w:rPr>
          <w:rFonts w:ascii="Arial" w:hAnsi="Arial" w:cs="Arial"/>
          <w:sz w:val="16"/>
          <w:szCs w:val="16"/>
        </w:rPr>
      </w:pPr>
    </w:p>
    <w:p w14:paraId="196AADC1" w14:textId="77777777" w:rsidR="008C19CA" w:rsidRDefault="008C19CA" w:rsidP="008C19CA">
      <w:pPr>
        <w:ind w:left="708"/>
        <w:rPr>
          <w:rFonts w:ascii="Arial" w:hAnsi="Arial" w:cs="Arial"/>
          <w:sz w:val="16"/>
          <w:szCs w:val="16"/>
        </w:rPr>
      </w:pPr>
    </w:p>
    <w:p w14:paraId="6FC3F38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INFORME DEL OPERADOR</w:t>
      </w:r>
    </w:p>
    <w:p w14:paraId="4B623C7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2B754F7"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NOMBRE DE LA COMPAÑÍA OPERADORA</w:t>
      </w:r>
    </w:p>
    <w:p w14:paraId="1E433B22"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440520F" w14:textId="2F4914CD" w:rsidR="00807924" w:rsidRPr="00807924" w:rsidRDefault="00C874CD" w:rsidP="00807924">
      <w:pPr>
        <w:suppressAutoHyphens/>
        <w:autoSpaceDE w:val="0"/>
        <w:autoSpaceDN w:val="0"/>
        <w:adjustRightInd w:val="0"/>
        <w:jc w:val="center"/>
        <w:textAlignment w:val="baseline"/>
        <w:rPr>
          <w:rFonts w:ascii="Arial" w:hAnsi="Arial" w:cs="Arial"/>
          <w:b/>
          <w:bCs/>
          <w:sz w:val="22"/>
          <w:szCs w:val="22"/>
        </w:rPr>
      </w:pPr>
      <w:proofErr w:type="spellStart"/>
      <w:r w:rsidRPr="00C874CD">
        <w:rPr>
          <w:rFonts w:ascii="Arial" w:hAnsi="Arial" w:cs="Arial"/>
          <w:b/>
          <w:bCs/>
          <w:sz w:val="22"/>
          <w:szCs w:val="22"/>
          <w:highlight w:val="yellow"/>
        </w:rPr>
        <w:t>Nit</w:t>
      </w:r>
      <w:proofErr w:type="spellEnd"/>
      <w:r w:rsidRPr="00C874CD">
        <w:rPr>
          <w:rFonts w:ascii="Arial" w:hAnsi="Arial" w:cs="Arial"/>
          <w:b/>
          <w:bCs/>
          <w:sz w:val="22"/>
          <w:szCs w:val="22"/>
          <w:highlight w:val="yellow"/>
        </w:rPr>
        <w:t xml:space="preserve">  </w:t>
      </w:r>
      <w:proofErr w:type="spellStart"/>
      <w:r w:rsidRPr="00C874CD">
        <w:rPr>
          <w:rFonts w:ascii="Arial" w:hAnsi="Arial" w:cs="Arial"/>
          <w:b/>
          <w:bCs/>
          <w:sz w:val="22"/>
          <w:szCs w:val="22"/>
          <w:highlight w:val="yellow"/>
        </w:rPr>
        <w:t>xxxxxxxxxxxxx</w:t>
      </w:r>
      <w:proofErr w:type="spellEnd"/>
    </w:p>
    <w:p w14:paraId="0298C09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9217B6F"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489209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EVALUACIÓN DE LAS RESERVAS</w:t>
      </w:r>
    </w:p>
    <w:p w14:paraId="2BB4852B"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DE PETRÓLEO Y GAS</w:t>
      </w:r>
    </w:p>
    <w:p w14:paraId="4765989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F9AB344"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CDC01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F272F5C"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4D50C5D8"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EN LAS PROPIEDADES BAJO CONTRATO: (Nombre(s) de Contrato(s))</w:t>
      </w:r>
    </w:p>
    <w:p w14:paraId="2EC2DF3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4F9079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0A5B6F9"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0695D5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752F18F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PREPARADA POR: (NOMBRE DE LA COMPAÑÍA)</w:t>
      </w:r>
    </w:p>
    <w:p w14:paraId="2ADCA7D3"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E1F0E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8710F2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45FF801"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0BA2337" w14:textId="000DD2E4"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 xml:space="preserve">FECHA EFECTIVA: </w:t>
      </w:r>
      <w:r w:rsidRPr="00582FB2">
        <w:rPr>
          <w:rFonts w:ascii="Arial" w:hAnsi="Arial" w:cs="Arial"/>
          <w:b/>
          <w:bCs/>
          <w:sz w:val="22"/>
          <w:szCs w:val="22"/>
          <w:highlight w:val="yellow"/>
        </w:rPr>
        <w:t>(DICIEMBRE 31, 20</w:t>
      </w:r>
      <w:r w:rsidR="00E5569B" w:rsidRPr="00582FB2">
        <w:rPr>
          <w:rFonts w:ascii="Arial" w:hAnsi="Arial" w:cs="Arial"/>
          <w:b/>
          <w:bCs/>
          <w:sz w:val="22"/>
          <w:szCs w:val="22"/>
          <w:highlight w:val="yellow"/>
        </w:rPr>
        <w:t>2</w:t>
      </w:r>
      <w:r w:rsidR="00582FB2" w:rsidRPr="00582FB2">
        <w:rPr>
          <w:rFonts w:ascii="Arial" w:hAnsi="Arial" w:cs="Arial"/>
          <w:b/>
          <w:bCs/>
          <w:sz w:val="22"/>
          <w:szCs w:val="22"/>
          <w:highlight w:val="yellow"/>
        </w:rPr>
        <w:t>X</w:t>
      </w:r>
      <w:r w:rsidRPr="00582FB2">
        <w:rPr>
          <w:rFonts w:ascii="Arial" w:hAnsi="Arial" w:cs="Arial"/>
          <w:b/>
          <w:bCs/>
          <w:sz w:val="22"/>
          <w:szCs w:val="22"/>
          <w:highlight w:val="yellow"/>
        </w:rPr>
        <w:t>)</w:t>
      </w:r>
    </w:p>
    <w:p w14:paraId="0FE5E18E"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10ABFA2"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466626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6DAA865"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7D7B03E4"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BAJO LAS DEFINICIONES Y LINEAMIENTOS DE: (SPE-PRMS)</w:t>
      </w:r>
    </w:p>
    <w:p w14:paraId="735138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DE66F8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C511D8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Número de Volumen: VOLUMEN I de n</w:t>
      </w:r>
    </w:p>
    <w:p w14:paraId="2EE79B11"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(El número de volúmenes dependerá de la cantidad de campos a reportar y/o áreas de exploración a reportar)</w:t>
      </w:r>
    </w:p>
    <w:p w14:paraId="57574412" w14:textId="221E4F26" w:rsidR="008C19CA" w:rsidRPr="00282C47" w:rsidRDefault="008C19CA" w:rsidP="008C19CA">
      <w:pPr>
        <w:suppressAutoHyphens/>
        <w:autoSpaceDE w:val="0"/>
        <w:autoSpaceDN w:val="0"/>
        <w:adjustRightInd w:val="0"/>
        <w:jc w:val="center"/>
        <w:textAlignment w:val="baseline"/>
        <w:rPr>
          <w:rFonts w:ascii="Arial" w:hAnsi="Arial" w:cs="Arial"/>
          <w:b/>
          <w:bCs/>
          <w:sz w:val="22"/>
          <w:szCs w:val="22"/>
        </w:rPr>
      </w:pPr>
    </w:p>
    <w:p w14:paraId="7EB6F313" w14:textId="38D69F8F" w:rsidR="008C19CA" w:rsidRPr="00282C47" w:rsidRDefault="008C19CA" w:rsidP="008C19CA">
      <w:pPr>
        <w:suppressAutoHyphens/>
        <w:autoSpaceDE w:val="0"/>
        <w:autoSpaceDN w:val="0"/>
        <w:adjustRightInd w:val="0"/>
        <w:jc w:val="center"/>
        <w:textAlignment w:val="baseline"/>
        <w:rPr>
          <w:rFonts w:ascii="Arial" w:hAnsi="Arial" w:cs="Arial"/>
          <w:b/>
          <w:bCs/>
          <w:sz w:val="22"/>
          <w:szCs w:val="22"/>
        </w:rPr>
      </w:pPr>
    </w:p>
    <w:p w14:paraId="2584C406" w14:textId="0890CF27" w:rsidR="008C19CA" w:rsidRDefault="008C19CA" w:rsidP="008C19CA">
      <w:pPr>
        <w:suppressAutoHyphens/>
        <w:autoSpaceDE w:val="0"/>
        <w:autoSpaceDN w:val="0"/>
        <w:adjustRightInd w:val="0"/>
        <w:jc w:val="center"/>
        <w:textAlignment w:val="baseline"/>
        <w:rPr>
          <w:rFonts w:ascii="Arial" w:hAnsi="Arial" w:cs="Arial"/>
          <w:b/>
          <w:bCs/>
          <w:sz w:val="22"/>
          <w:szCs w:val="22"/>
        </w:rPr>
      </w:pPr>
    </w:p>
    <w:p w14:paraId="586A2A1F" w14:textId="4F04D857"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2FC4A487" w14:textId="260FFD28"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668A5B77" w14:textId="23D428CA"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65479657" w14:textId="3D94403E"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065F7C0C" w14:textId="77777777"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1826962E" w14:textId="613CF081"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1B5C1092" w14:textId="77777777" w:rsidR="00807924" w:rsidRDefault="00807924" w:rsidP="00807924">
      <w:pPr>
        <w:numPr>
          <w:ilvl w:val="0"/>
          <w:numId w:val="1"/>
        </w:numPr>
        <w:suppressAutoHyphens/>
        <w:autoSpaceDN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INFORMACIÓN BÁSICA</w:t>
      </w:r>
    </w:p>
    <w:p w14:paraId="35F46ACF" w14:textId="6447CCAF" w:rsidR="00807924" w:rsidRDefault="00807924" w:rsidP="00807924">
      <w:pPr>
        <w:suppressAutoHyphens/>
        <w:autoSpaceDN w:val="0"/>
        <w:ind w:left="360" w:right="-8"/>
        <w:jc w:val="both"/>
        <w:textAlignment w:val="baseline"/>
        <w:rPr>
          <w:rFonts w:ascii="Arial" w:hAnsi="Arial" w:cs="Arial"/>
          <w:b/>
          <w:sz w:val="20"/>
          <w:szCs w:val="20"/>
          <w:lang w:val="es-CO"/>
        </w:rPr>
      </w:pPr>
    </w:p>
    <w:p w14:paraId="7CB262C2"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Presentación de la operadora</w:t>
      </w:r>
    </w:p>
    <w:p w14:paraId="6283AB54"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Nombre del contrato</w:t>
      </w:r>
    </w:p>
    <w:p w14:paraId="7050A348" w14:textId="2CFB4857" w:rsidR="00807924" w:rsidRDefault="00807924" w:rsidP="00807924">
      <w:pPr>
        <w:pStyle w:val="Prrafodelista"/>
        <w:numPr>
          <w:ilvl w:val="2"/>
          <w:numId w:val="1"/>
        </w:numPr>
        <w:rPr>
          <w:rFonts w:ascii="Arial" w:hAnsi="Arial" w:cs="Arial"/>
          <w:bCs/>
          <w:sz w:val="20"/>
          <w:szCs w:val="20"/>
          <w:lang w:val="es-CO"/>
        </w:rPr>
      </w:pPr>
      <w:r>
        <w:rPr>
          <w:rFonts w:ascii="Arial" w:hAnsi="Arial" w:cs="Arial"/>
          <w:bCs/>
          <w:sz w:val="20"/>
          <w:szCs w:val="20"/>
          <w:lang w:val="es-CO"/>
        </w:rPr>
        <w:t>Nombres de los campos dentro de cada contrato,</w:t>
      </w:r>
      <w:r>
        <w:rPr>
          <w:rFonts w:ascii="Arial" w:hAnsi="Arial" w:cs="Arial"/>
          <w:sz w:val="20"/>
          <w:szCs w:val="20"/>
        </w:rPr>
        <w:t xml:space="preserve"> </w:t>
      </w:r>
      <w:r>
        <w:rPr>
          <w:rFonts w:ascii="Arial" w:hAnsi="Arial" w:cs="Arial"/>
          <w:bCs/>
          <w:sz w:val="20"/>
          <w:szCs w:val="20"/>
          <w:lang w:val="es-CO"/>
        </w:rPr>
        <w:t>mencionando si se tienen áreas en exploración.</w:t>
      </w:r>
    </w:p>
    <w:p w14:paraId="60950554" w14:textId="75813FD8"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4FFA513D" w14:textId="11BEDBCF" w:rsidR="00807924" w:rsidRDefault="00807924" w:rsidP="00807924">
      <w:pPr>
        <w:pStyle w:val="Prrafodelista"/>
        <w:numPr>
          <w:ilvl w:val="1"/>
          <w:numId w:val="1"/>
        </w:numPr>
        <w:rPr>
          <w:rFonts w:ascii="Arial" w:hAnsi="Arial" w:cs="Arial"/>
          <w:bCs/>
          <w:sz w:val="20"/>
          <w:szCs w:val="20"/>
          <w:lang w:val="es-CO"/>
        </w:rPr>
      </w:pPr>
      <w:r>
        <w:rPr>
          <w:rFonts w:ascii="Arial" w:hAnsi="Arial" w:cs="Arial"/>
          <w:bCs/>
          <w:sz w:val="20"/>
          <w:szCs w:val="20"/>
          <w:lang w:val="es-CO"/>
        </w:rPr>
        <w:t>Plano(s) mostrando la ubicación de las áreas del contrato y los campos en formato JPG, PDF, PNG o TIFF que permitan su visualización, en coordenadas Datum Magna Sirgas origen Bogotá, debidamente georreferenciados. (Los planos y mapas deben ser cargados en el servicio FTP).</w:t>
      </w:r>
    </w:p>
    <w:p w14:paraId="510B7650" w14:textId="0605509E" w:rsidR="00807924" w:rsidRDefault="00807924" w:rsidP="00B8409C">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3FC6BD25" w14:textId="4A9C4F9A"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Resumen de las reservas totales de la compañía</w:t>
      </w:r>
      <w:r w:rsidR="007903F7">
        <w:rPr>
          <w:rFonts w:ascii="Arial" w:hAnsi="Arial" w:cs="Arial"/>
          <w:bCs/>
          <w:sz w:val="20"/>
          <w:szCs w:val="20"/>
          <w:lang w:val="es-CO"/>
        </w:rPr>
        <w:t>.</w:t>
      </w:r>
    </w:p>
    <w:p w14:paraId="4653055D" w14:textId="7285DBEF"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Resumen total de las proyecciones de las reservas y regalías de la compañía</w:t>
      </w:r>
      <w:r w:rsidR="007903F7">
        <w:rPr>
          <w:rFonts w:ascii="Arial" w:hAnsi="Arial" w:cs="Arial"/>
          <w:bCs/>
          <w:sz w:val="20"/>
          <w:szCs w:val="20"/>
          <w:lang w:val="es-CO"/>
        </w:rPr>
        <w:t>.</w:t>
      </w:r>
    </w:p>
    <w:p w14:paraId="7A01A137" w14:textId="57B91848" w:rsidR="00807924" w:rsidRDefault="00807924" w:rsidP="00807924">
      <w:pPr>
        <w:tabs>
          <w:tab w:val="left" w:pos="1418"/>
          <w:tab w:val="left" w:pos="1560"/>
          <w:tab w:val="left" w:pos="2880"/>
        </w:tabs>
        <w:suppressAutoHyphens/>
        <w:autoSpaceDE w:val="0"/>
        <w:autoSpaceDN w:val="0"/>
        <w:adjustRightInd w:val="0"/>
        <w:ind w:left="792" w:right="-8"/>
        <w:jc w:val="both"/>
        <w:textAlignment w:val="baseline"/>
        <w:rPr>
          <w:rFonts w:ascii="Arial" w:hAnsi="Arial" w:cs="Arial"/>
          <w:b/>
          <w:sz w:val="20"/>
          <w:szCs w:val="20"/>
          <w:lang w:val="es-CO"/>
        </w:rPr>
      </w:pPr>
    </w:p>
    <w:p w14:paraId="2B92B26B" w14:textId="77777777" w:rsidR="00807924" w:rsidRDefault="00807924" w:rsidP="00807924">
      <w:pPr>
        <w:tabs>
          <w:tab w:val="left" w:pos="1418"/>
          <w:tab w:val="left" w:pos="1560"/>
          <w:tab w:val="left" w:pos="2880"/>
        </w:tabs>
        <w:suppressAutoHyphens/>
        <w:autoSpaceDE w:val="0"/>
        <w:autoSpaceDN w:val="0"/>
        <w:adjustRightInd w:val="0"/>
        <w:ind w:left="792" w:right="-8"/>
        <w:jc w:val="both"/>
        <w:textAlignment w:val="baseline"/>
        <w:rPr>
          <w:rFonts w:ascii="Arial" w:hAnsi="Arial" w:cs="Arial"/>
          <w:b/>
          <w:sz w:val="20"/>
          <w:szCs w:val="20"/>
          <w:lang w:val="es-CO"/>
        </w:rPr>
      </w:pPr>
    </w:p>
    <w:p w14:paraId="35D37B07" w14:textId="5BDA7502" w:rsidR="00807924" w:rsidRDefault="00807924" w:rsidP="00807924">
      <w:pPr>
        <w:numPr>
          <w:ilvl w:val="0"/>
          <w:numId w:val="1"/>
        </w:numPr>
        <w:tabs>
          <w:tab w:val="left" w:pos="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DISCUSIÓN</w:t>
      </w:r>
    </w:p>
    <w:p w14:paraId="0D239250" w14:textId="77777777" w:rsidR="00807924" w:rsidRDefault="00807924" w:rsidP="00807924">
      <w:pPr>
        <w:tabs>
          <w:tab w:val="left" w:pos="0"/>
          <w:tab w:val="left" w:pos="1440"/>
          <w:tab w:val="left" w:pos="2160"/>
          <w:tab w:val="left" w:pos="2880"/>
        </w:tabs>
        <w:suppressAutoHyphens/>
        <w:autoSpaceDE w:val="0"/>
        <w:autoSpaceDN w:val="0"/>
        <w:adjustRightInd w:val="0"/>
        <w:ind w:left="360" w:right="-8"/>
        <w:jc w:val="both"/>
        <w:textAlignment w:val="baseline"/>
        <w:rPr>
          <w:rFonts w:ascii="Arial" w:hAnsi="Arial" w:cs="Arial"/>
          <w:b/>
          <w:sz w:val="20"/>
          <w:szCs w:val="20"/>
          <w:lang w:val="es-CO"/>
        </w:rPr>
      </w:pPr>
    </w:p>
    <w:p w14:paraId="28B0C794" w14:textId="722768F7"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General</w:t>
      </w:r>
    </w:p>
    <w:p w14:paraId="20E53B4E" w14:textId="77777777"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Discusión general de la compañía certificadora</w:t>
      </w:r>
    </w:p>
    <w:p w14:paraId="1520DE34" w14:textId="7A324B94"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 xml:space="preserve">Indicar el número y tipo de contrato o negocio jurídico (sociedad, participación, otros) fecha de inicio y terminación, porcentaje de regalías, porcentaje de participación, etc. </w:t>
      </w:r>
    </w:p>
    <w:p w14:paraId="28F93394" w14:textId="2D85B657"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del(las) área(s) del contrato, su proceso de desarrollo histórico, y producción presente</w:t>
      </w:r>
    </w:p>
    <w:p w14:paraId="7B3C8190" w14:textId="527A63BD"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 xml:space="preserve">Presentación de los detalles del contrato (No. de contrato; nombre del contrato; tipo de contrato: asociación, E&amp;P, concesión, operación directa, CDNDI, solo riesgo, </w:t>
      </w:r>
      <w:proofErr w:type="spellStart"/>
      <w:r>
        <w:rPr>
          <w:rFonts w:ascii="Arial" w:hAnsi="Arial" w:cs="Arial"/>
          <w:bCs/>
          <w:sz w:val="20"/>
          <w:szCs w:val="20"/>
          <w:lang w:val="es-CO"/>
        </w:rPr>
        <w:t>etc</w:t>
      </w:r>
      <w:proofErr w:type="spellEnd"/>
      <w:r>
        <w:rPr>
          <w:rFonts w:ascii="Arial" w:hAnsi="Arial" w:cs="Arial"/>
          <w:bCs/>
          <w:sz w:val="20"/>
          <w:szCs w:val="20"/>
          <w:lang w:val="es-CO"/>
        </w:rPr>
        <w:t xml:space="preserve">; áreas en exploración, campos asociados al contrato; porcentaje de participaciones </w:t>
      </w:r>
      <w:r w:rsidR="009B4855">
        <w:rPr>
          <w:rFonts w:ascii="Arial" w:hAnsi="Arial" w:cs="Arial"/>
          <w:bCs/>
          <w:sz w:val="20"/>
          <w:szCs w:val="20"/>
          <w:lang w:val="es-CO"/>
        </w:rPr>
        <w:t>de acuerdo con el</w:t>
      </w:r>
      <w:r>
        <w:rPr>
          <w:rFonts w:ascii="Arial" w:hAnsi="Arial" w:cs="Arial"/>
          <w:bCs/>
          <w:sz w:val="20"/>
          <w:szCs w:val="20"/>
          <w:lang w:val="es-CO"/>
        </w:rPr>
        <w:t xml:space="preserve"> contrato antes de regalías; fecha inicio del contrato; fecha terminación del contrato; información de regalías: porcentaje por volumen de producción, porcentaje por curva base negociada, porcentaje sobre la curva base negociada, otros) </w:t>
      </w:r>
    </w:p>
    <w:p w14:paraId="5B43787B" w14:textId="77777777" w:rsidR="00807924" w:rsidRDefault="00807924" w:rsidP="00807924">
      <w:pPr>
        <w:tabs>
          <w:tab w:val="left" w:pos="1701"/>
          <w:tab w:val="left" w:pos="2127"/>
          <w:tab w:val="left" w:pos="2160"/>
          <w:tab w:val="left" w:pos="2880"/>
        </w:tabs>
        <w:suppressAutoHyphens/>
        <w:autoSpaceDE w:val="0"/>
        <w:autoSpaceDN w:val="0"/>
        <w:adjustRightInd w:val="0"/>
        <w:ind w:left="1701" w:right="-8"/>
        <w:jc w:val="both"/>
        <w:textAlignment w:val="baseline"/>
        <w:rPr>
          <w:rFonts w:ascii="Arial" w:hAnsi="Arial" w:cs="Arial"/>
          <w:sz w:val="20"/>
          <w:szCs w:val="20"/>
          <w:lang w:val="es-CO"/>
        </w:rPr>
      </w:pPr>
    </w:p>
    <w:p w14:paraId="4671FA99" w14:textId="39808053"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Geología</w:t>
      </w:r>
    </w:p>
    <w:p w14:paraId="1DA79959" w14:textId="3917A00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geológica del área del contrato</w:t>
      </w:r>
    </w:p>
    <w:p w14:paraId="41B2B609" w14:textId="68C02466"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estructural</w:t>
      </w:r>
    </w:p>
    <w:p w14:paraId="7FFE54C7" w14:textId="6F959F50" w:rsidR="00807924" w:rsidRDefault="00807924" w:rsidP="00807924">
      <w:pPr>
        <w:numPr>
          <w:ilvl w:val="2"/>
          <w:numId w:val="1"/>
        </w:numPr>
        <w:tabs>
          <w:tab w:val="left" w:pos="1701"/>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y columna estratigráfica del área</w:t>
      </w:r>
    </w:p>
    <w:p w14:paraId="5B074A81" w14:textId="4498255C"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sedimentario</w:t>
      </w:r>
    </w:p>
    <w:p w14:paraId="41C22C93" w14:textId="691244C2"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análisis petrofísico</w:t>
      </w:r>
    </w:p>
    <w:p w14:paraId="5134EAF4" w14:textId="77777777" w:rsidR="00807924" w:rsidRDefault="00807924" w:rsidP="00807924">
      <w:pPr>
        <w:numPr>
          <w:ilvl w:val="2"/>
          <w:numId w:val="1"/>
        </w:numPr>
        <w:tabs>
          <w:tab w:val="left" w:pos="720"/>
          <w:tab w:val="left" w:pos="1701"/>
          <w:tab w:val="left" w:pos="2127"/>
          <w:tab w:val="left" w:pos="216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Definición del uso de los registros/núcleos para determinar el CAPO o CAP presente</w:t>
      </w:r>
    </w:p>
    <w:p w14:paraId="76266D87" w14:textId="68F42F75" w:rsidR="00807924" w:rsidRDefault="00807924" w:rsidP="00807924">
      <w:pPr>
        <w:numPr>
          <w:ilvl w:val="2"/>
          <w:numId w:val="1"/>
        </w:numPr>
        <w:tabs>
          <w:tab w:val="left" w:pos="720"/>
          <w:tab w:val="left" w:pos="1701"/>
          <w:tab w:val="left" w:pos="2127"/>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Definición del uso de los registros/núcleos para determinar el CPGO o CPG presente</w:t>
      </w:r>
    </w:p>
    <w:p w14:paraId="3B44BA8C" w14:textId="77777777" w:rsidR="00807924" w:rsidRDefault="00807924" w:rsidP="00807924">
      <w:pPr>
        <w:tabs>
          <w:tab w:val="left" w:pos="720"/>
          <w:tab w:val="left" w:pos="1701"/>
          <w:tab w:val="left" w:pos="2127"/>
        </w:tabs>
        <w:suppressAutoHyphens/>
        <w:autoSpaceDE w:val="0"/>
        <w:autoSpaceDN w:val="0"/>
        <w:adjustRightInd w:val="0"/>
        <w:ind w:left="720" w:right="-8"/>
        <w:jc w:val="both"/>
        <w:textAlignment w:val="baseline"/>
        <w:rPr>
          <w:rFonts w:ascii="Arial" w:hAnsi="Arial" w:cs="Arial"/>
          <w:sz w:val="20"/>
          <w:szCs w:val="20"/>
          <w:lang w:val="es-CO"/>
        </w:rPr>
      </w:pPr>
    </w:p>
    <w:p w14:paraId="56B552EB" w14:textId="77777777"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Geofísica</w:t>
      </w:r>
    </w:p>
    <w:p w14:paraId="053AD4D8"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Área evaluada usando la geofísica</w:t>
      </w:r>
    </w:p>
    <w:p w14:paraId="3D042348" w14:textId="29F33C93" w:rsidR="00807924" w:rsidRDefault="00807924" w:rsidP="00807924">
      <w:pPr>
        <w:numPr>
          <w:ilvl w:val="2"/>
          <w:numId w:val="1"/>
        </w:numPr>
        <w:tabs>
          <w:tab w:val="left" w:pos="720"/>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Uso de la geofísica en combinación con la información de los pozos existentes</w:t>
      </w:r>
    </w:p>
    <w:p w14:paraId="62CA5F90" w14:textId="451B69F8" w:rsidR="00807924" w:rsidRDefault="00807924" w:rsidP="00807924">
      <w:pPr>
        <w:numPr>
          <w:ilvl w:val="2"/>
          <w:numId w:val="1"/>
        </w:numPr>
        <w:tabs>
          <w:tab w:val="left" w:pos="720"/>
          <w:tab w:val="left" w:pos="1701"/>
          <w:tab w:val="left" w:pos="2127"/>
          <w:tab w:val="left" w:pos="216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 la aplicación de la geofísica para la evaluación de las reservas existentes y la conversión del mapa de tiempo a profundidad indicando el grado de certidumbre</w:t>
      </w:r>
    </w:p>
    <w:p w14:paraId="08C1126C" w14:textId="481E529C"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bCs/>
          <w:sz w:val="20"/>
          <w:szCs w:val="20"/>
          <w:lang w:val="es-CO"/>
        </w:rPr>
      </w:pPr>
      <w:r>
        <w:rPr>
          <w:rFonts w:ascii="Arial" w:hAnsi="Arial" w:cs="Arial"/>
          <w:bCs/>
          <w:sz w:val="20"/>
          <w:szCs w:val="20"/>
          <w:lang w:val="es-CO"/>
        </w:rPr>
        <w:t>Resultados</w:t>
      </w:r>
    </w:p>
    <w:p w14:paraId="71EC7D6B" w14:textId="77777777"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189456F4" w14:textId="3E6A559B"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0DD88378" w14:textId="77777777"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bCs/>
          <w:caps/>
          <w:sz w:val="20"/>
          <w:szCs w:val="20"/>
          <w:lang w:val="es-CO"/>
        </w:rPr>
      </w:pPr>
      <w:r>
        <w:rPr>
          <w:rFonts w:ascii="Arial" w:hAnsi="Arial" w:cs="Arial"/>
          <w:b/>
          <w:bCs/>
          <w:caps/>
          <w:sz w:val="20"/>
          <w:szCs w:val="20"/>
          <w:lang w:val="es-CO"/>
        </w:rPr>
        <w:t>Ingeniería</w:t>
      </w:r>
    </w:p>
    <w:p w14:paraId="4638483E" w14:textId="7D34D6E1"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bCs/>
          <w:caps/>
          <w:sz w:val="20"/>
          <w:szCs w:val="20"/>
          <w:lang w:val="es-CO"/>
        </w:rPr>
      </w:pPr>
    </w:p>
    <w:p w14:paraId="78384E75"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Discusión por campo/yacimiento de las metodologías utilizadas para estimar las reservas (volumétrico, balance de materia, curvas de declinación, analogías, etc.) </w:t>
      </w:r>
    </w:p>
    <w:p w14:paraId="2326D9D7"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Definir los yacimientos y las propiedades de los fluidos</w:t>
      </w:r>
    </w:p>
    <w:p w14:paraId="247FBFF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Relacionar los resultados de las pruebas de los pozos (anexar informes de pruebas de pozos del último año en </w:t>
      </w:r>
      <w:proofErr w:type="spellStart"/>
      <w:r>
        <w:rPr>
          <w:rFonts w:ascii="Arial" w:hAnsi="Arial" w:cs="Arial"/>
          <w:bCs/>
          <w:sz w:val="20"/>
          <w:szCs w:val="20"/>
          <w:lang w:val="es-CO"/>
        </w:rPr>
        <w:t>pdf</w:t>
      </w:r>
      <w:proofErr w:type="spellEnd"/>
      <w:r>
        <w:rPr>
          <w:rFonts w:ascii="Arial" w:hAnsi="Arial" w:cs="Arial"/>
          <w:bCs/>
          <w:sz w:val="20"/>
          <w:szCs w:val="20"/>
          <w:lang w:val="es-CO"/>
        </w:rPr>
        <w:t xml:space="preserve"> y archivos de origen)</w:t>
      </w:r>
    </w:p>
    <w:p w14:paraId="53F4E6D6" w14:textId="2F932591"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Presentar los resultados de los cálculos de POES o GOES por yacimiento</w:t>
      </w:r>
      <w:r w:rsidR="007903F7">
        <w:rPr>
          <w:rFonts w:ascii="Arial" w:hAnsi="Arial" w:cs="Arial"/>
          <w:bCs/>
          <w:sz w:val="20"/>
          <w:szCs w:val="20"/>
          <w:lang w:val="es-CO"/>
        </w:rPr>
        <w:t>.</w:t>
      </w:r>
    </w:p>
    <w:p w14:paraId="754873B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Evaluar los Factores de Recobro – FR y su soporte técnico por yacimiento (histórico, analogía, mecanismo de drenaje, etc.)</w:t>
      </w:r>
    </w:p>
    <w:p w14:paraId="778CE4E3" w14:textId="676EDAC2"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Describir los proyectos desarrollados, en ejecución y los planeados por yacimiento/campo, relación de las principales causas que impidieron la ejecución de los proyectos planeados. </w:t>
      </w:r>
    </w:p>
    <w:p w14:paraId="7335C063" w14:textId="1DFF6CEC"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En caso de que las reservas se hayan estimado utilizando métodos probabilísticos, se deben registrar y explicar las distribuciones de todos los parámetros del modelo para calcular las distribuciones de GOES/ POES, sus soportes técnicos, más las distribuciones de GOES/POES y de las reservas, mostrando los valores de P10, P50, y P90</w:t>
      </w:r>
    </w:p>
    <w:p w14:paraId="702293C4" w14:textId="57052916" w:rsidR="00807924" w:rsidRDefault="00807924" w:rsidP="00807924">
      <w:pPr>
        <w:tabs>
          <w:tab w:val="left" w:pos="1418"/>
          <w:tab w:val="left" w:pos="2160"/>
          <w:tab w:val="left" w:pos="2880"/>
        </w:tabs>
        <w:suppressAutoHyphens/>
        <w:autoSpaceDE w:val="0"/>
        <w:autoSpaceDN w:val="0"/>
        <w:adjustRightInd w:val="0"/>
        <w:ind w:left="792" w:right="-8"/>
        <w:jc w:val="both"/>
        <w:textAlignment w:val="baseline"/>
        <w:rPr>
          <w:rFonts w:ascii="Arial" w:hAnsi="Arial" w:cs="Arial"/>
          <w:bCs/>
          <w:sz w:val="20"/>
          <w:szCs w:val="20"/>
          <w:lang w:val="es-CO"/>
        </w:rPr>
      </w:pPr>
    </w:p>
    <w:p w14:paraId="798BC581" w14:textId="77777777" w:rsidR="00807924" w:rsidRDefault="00807924" w:rsidP="00807924">
      <w:pPr>
        <w:tabs>
          <w:tab w:val="left" w:pos="1418"/>
          <w:tab w:val="left" w:pos="2160"/>
          <w:tab w:val="left" w:pos="2880"/>
        </w:tabs>
        <w:suppressAutoHyphens/>
        <w:autoSpaceDE w:val="0"/>
        <w:autoSpaceDN w:val="0"/>
        <w:adjustRightInd w:val="0"/>
        <w:ind w:left="792" w:right="-8"/>
        <w:jc w:val="both"/>
        <w:textAlignment w:val="baseline"/>
        <w:rPr>
          <w:rFonts w:ascii="Arial" w:hAnsi="Arial" w:cs="Arial"/>
          <w:bCs/>
          <w:sz w:val="20"/>
          <w:szCs w:val="20"/>
          <w:lang w:val="es-CO"/>
        </w:rPr>
      </w:pPr>
    </w:p>
    <w:p w14:paraId="0224D716" w14:textId="474C9458"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bCs/>
          <w:caps/>
          <w:sz w:val="20"/>
          <w:szCs w:val="20"/>
          <w:lang w:val="es-CO"/>
        </w:rPr>
      </w:pPr>
      <w:r>
        <w:rPr>
          <w:rFonts w:ascii="Arial" w:hAnsi="Arial" w:cs="Arial"/>
          <w:b/>
          <w:bCs/>
          <w:caps/>
          <w:sz w:val="20"/>
          <w:szCs w:val="20"/>
          <w:lang w:val="es-CO"/>
        </w:rPr>
        <w:t>AnÁlisis EcÓnómico</w:t>
      </w:r>
    </w:p>
    <w:p w14:paraId="5A5C05C9" w14:textId="29ADC766"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bCs/>
          <w:caps/>
          <w:sz w:val="20"/>
          <w:szCs w:val="20"/>
          <w:lang w:val="es-CO"/>
        </w:rPr>
      </w:pPr>
    </w:p>
    <w:p w14:paraId="1756E2F7" w14:textId="020CE02A"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Breve descripción del modelo económico y los parámetros que lo afectan</w:t>
      </w:r>
    </w:p>
    <w:p w14:paraId="7B4DDA45" w14:textId="441A935B"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bCs/>
          <w:sz w:val="20"/>
          <w:szCs w:val="20"/>
          <w:lang w:val="es-CO"/>
        </w:rPr>
      </w:pPr>
      <w:r>
        <w:rPr>
          <w:rFonts w:ascii="Arial" w:hAnsi="Arial" w:cs="Arial"/>
          <w:bCs/>
          <w:sz w:val="20"/>
          <w:szCs w:val="20"/>
          <w:lang w:val="es-CO"/>
        </w:rPr>
        <w:t xml:space="preserve">Porcentaje de participación de la compañía </w:t>
      </w:r>
      <w:proofErr w:type="spellStart"/>
      <w:r>
        <w:rPr>
          <w:rFonts w:ascii="Arial" w:hAnsi="Arial" w:cs="Arial"/>
          <w:bCs/>
          <w:sz w:val="20"/>
          <w:szCs w:val="20"/>
          <w:lang w:val="es-CO"/>
        </w:rPr>
        <w:t>ó</w:t>
      </w:r>
      <w:proofErr w:type="spellEnd"/>
      <w:r>
        <w:rPr>
          <w:rFonts w:ascii="Arial" w:hAnsi="Arial" w:cs="Arial"/>
          <w:bCs/>
          <w:sz w:val="20"/>
          <w:szCs w:val="20"/>
          <w:lang w:val="es-CO"/>
        </w:rPr>
        <w:t xml:space="preserve"> de cada compañía si se trata de asociadas</w:t>
      </w:r>
    </w:p>
    <w:p w14:paraId="74BB8046"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Porcentaje de regalías asociadas a la producción de acuerdo con el contrato</w:t>
      </w:r>
    </w:p>
    <w:p w14:paraId="5834FD55" w14:textId="5006DC02"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Curva básica de producción en caso de que exista una negociada</w:t>
      </w:r>
    </w:p>
    <w:p w14:paraId="03E7821F" w14:textId="092C7C88" w:rsidR="00807924" w:rsidRP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Descripción de los escenarios de precios de petróleo, condensado y gas</w:t>
      </w:r>
    </w:p>
    <w:p w14:paraId="0AB223A8" w14:textId="1CB3F43D"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20C28647" w14:textId="77777777"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sz w:val="20"/>
          <w:szCs w:val="20"/>
          <w:lang w:val="es-CO"/>
        </w:rPr>
      </w:pPr>
    </w:p>
    <w:p w14:paraId="63778360" w14:textId="39AD2337" w:rsidR="00807924" w:rsidRDefault="00807924" w:rsidP="00807924">
      <w:pPr>
        <w:tabs>
          <w:tab w:val="left" w:pos="720"/>
          <w:tab w:val="left" w:pos="1701"/>
          <w:tab w:val="left" w:pos="2160"/>
          <w:tab w:val="left" w:pos="2880"/>
        </w:tabs>
        <w:suppressAutoHyphens/>
        <w:autoSpaceDE w:val="0"/>
        <w:autoSpaceDN w:val="0"/>
        <w:adjustRightInd w:val="0"/>
        <w:ind w:left="720" w:right="-8"/>
        <w:jc w:val="both"/>
        <w:textAlignment w:val="baseline"/>
        <w:rPr>
          <w:rFonts w:ascii="Arial" w:hAnsi="Arial" w:cs="Arial"/>
          <w:sz w:val="20"/>
          <w:szCs w:val="20"/>
          <w:lang w:val="es-CO"/>
        </w:rPr>
      </w:pPr>
    </w:p>
    <w:p w14:paraId="7AF7E8D7" w14:textId="16C597EC"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Descripción de los costos operacionales fijos y variables (Tabla ‘</w:t>
      </w:r>
      <w:proofErr w:type="spellStart"/>
      <w:r>
        <w:rPr>
          <w:rFonts w:ascii="Arial" w:hAnsi="Arial" w:cs="Arial"/>
          <w:bCs/>
          <w:sz w:val="20"/>
          <w:szCs w:val="20"/>
          <w:lang w:val="es-CO"/>
        </w:rPr>
        <w:t>Opex</w:t>
      </w:r>
      <w:proofErr w:type="spellEnd"/>
      <w:r>
        <w:rPr>
          <w:rFonts w:ascii="Arial" w:hAnsi="Arial" w:cs="Arial"/>
          <w:bCs/>
          <w:sz w:val="20"/>
          <w:szCs w:val="20"/>
          <w:lang w:val="es-CO"/>
        </w:rPr>
        <w:t>’)</w:t>
      </w:r>
    </w:p>
    <w:p w14:paraId="13AC80AF" w14:textId="7B382ABF" w:rsidR="00807924" w:rsidRDefault="00807924" w:rsidP="00807924">
      <w:pPr>
        <w:tabs>
          <w:tab w:val="left" w:pos="1701"/>
          <w:tab w:val="left" w:pos="2880"/>
        </w:tabs>
        <w:autoSpaceDE w:val="0"/>
        <w:autoSpaceDN w:val="0"/>
        <w:adjustRightInd w:val="0"/>
        <w:ind w:right="-8"/>
        <w:contextualSpacing/>
        <w:jc w:val="both"/>
        <w:rPr>
          <w:rFonts w:ascii="Arial" w:hAnsi="Arial" w:cs="Arial"/>
          <w:sz w:val="20"/>
          <w:szCs w:val="20"/>
          <w:lang w:val="es-CO"/>
        </w:rPr>
      </w:pPr>
    </w:p>
    <w:p w14:paraId="5BD187B9" w14:textId="419BC579"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Definición breve del tipo de costos que se están considerando en los valores registrados en la tabla OPEX.  En forma general, qué incluye la compañía en los COSTOS FIJOS (</w:t>
      </w:r>
      <w:proofErr w:type="spellStart"/>
      <w:r>
        <w:rPr>
          <w:rFonts w:ascii="Arial" w:hAnsi="Arial" w:cs="Arial"/>
          <w:bCs/>
          <w:sz w:val="20"/>
          <w:szCs w:val="20"/>
        </w:rPr>
        <w:t>kUS</w:t>
      </w:r>
      <w:proofErr w:type="spellEnd"/>
      <w:r>
        <w:rPr>
          <w:rFonts w:ascii="Arial" w:hAnsi="Arial" w:cs="Arial"/>
          <w:bCs/>
          <w:sz w:val="20"/>
          <w:szCs w:val="20"/>
        </w:rPr>
        <w:t xml:space="preserve">$/año); COSTOS </w:t>
      </w:r>
      <w:r>
        <w:rPr>
          <w:rFonts w:ascii="Arial" w:hAnsi="Arial" w:cs="Arial"/>
          <w:bCs/>
          <w:sz w:val="20"/>
          <w:szCs w:val="20"/>
        </w:rPr>
        <w:lastRenderedPageBreak/>
        <w:t>VARIABLES y COSTOS POR BARRIL DE CRUDO PRODUCIDO (disposición de agua, tratamiento, diluyente (US$/</w:t>
      </w:r>
      <w:proofErr w:type="spellStart"/>
      <w:r>
        <w:rPr>
          <w:rFonts w:ascii="Arial" w:hAnsi="Arial" w:cs="Arial"/>
          <w:bCs/>
          <w:sz w:val="20"/>
          <w:szCs w:val="20"/>
        </w:rPr>
        <w:t>bbl</w:t>
      </w:r>
      <w:proofErr w:type="spellEnd"/>
      <w:r>
        <w:rPr>
          <w:rFonts w:ascii="Arial" w:hAnsi="Arial" w:cs="Arial"/>
          <w:bCs/>
          <w:sz w:val="20"/>
          <w:szCs w:val="20"/>
        </w:rPr>
        <w:t>)).</w:t>
      </w:r>
    </w:p>
    <w:p w14:paraId="1050AF5C" w14:textId="07979934" w:rsidR="00807924" w:rsidRDefault="00807924" w:rsidP="00807924">
      <w:pPr>
        <w:tabs>
          <w:tab w:val="left" w:pos="1701"/>
          <w:tab w:val="left" w:pos="2880"/>
        </w:tabs>
        <w:autoSpaceDE w:val="0"/>
        <w:autoSpaceDN w:val="0"/>
        <w:adjustRightInd w:val="0"/>
        <w:ind w:right="-8"/>
        <w:contextualSpacing/>
        <w:jc w:val="both"/>
        <w:rPr>
          <w:rFonts w:ascii="Arial" w:hAnsi="Arial" w:cs="Arial"/>
          <w:sz w:val="20"/>
          <w:szCs w:val="20"/>
        </w:rPr>
      </w:pPr>
    </w:p>
    <w:p w14:paraId="02640629"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Descripción de los costos de inversión y de abandono (Tabla ‘Capex’)</w:t>
      </w:r>
    </w:p>
    <w:p w14:paraId="524D0D0A" w14:textId="0CC3B124"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70FA10AC" w14:textId="4EE9BE0C"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445E97BC" w14:textId="77777777"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TABLAS DE REPORTE DE RESERVAS/RECURSOS CONTINGENTES POR CAMPO Y CONTRATO</w:t>
      </w:r>
    </w:p>
    <w:p w14:paraId="7BEFEDDF" w14:textId="665E4AFF"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sz w:val="20"/>
          <w:szCs w:val="20"/>
          <w:lang w:val="es-CO"/>
        </w:rPr>
      </w:pPr>
    </w:p>
    <w:p w14:paraId="3E857767" w14:textId="3EAD7FFB"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r>
        <w:rPr>
          <w:rFonts w:ascii="Arial" w:hAnsi="Arial" w:cs="Arial"/>
          <w:sz w:val="20"/>
          <w:szCs w:val="20"/>
        </w:rPr>
        <w:t>Si tiene comentarios a las tablas de reporte de recursos y reservas por campo, menciónelos en esta sección</w:t>
      </w:r>
    </w:p>
    <w:p w14:paraId="214279C5" w14:textId="2BCDE759"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p>
    <w:p w14:paraId="0E463BC2" w14:textId="4BE621AB"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p>
    <w:p w14:paraId="376F3601" w14:textId="77777777" w:rsidR="00807924" w:rsidRDefault="00807924" w:rsidP="00807924">
      <w:pPr>
        <w:pStyle w:val="Prrafodelista"/>
        <w:numPr>
          <w:ilvl w:val="0"/>
          <w:numId w:val="1"/>
        </w:num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
          <w:sz w:val="20"/>
          <w:szCs w:val="20"/>
        </w:rPr>
        <w:t>RECURSOS PROSPECTIVOS</w:t>
      </w:r>
    </w:p>
    <w:p w14:paraId="40778481" w14:textId="73100199"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44230EEC" w14:textId="21E633BD"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 xml:space="preserve">Para los recursos prospectivos, presente el informe de los prospectos identificados tanto en áreas en exploración como en los campos en operación existentes en el contrato. </w:t>
      </w:r>
    </w:p>
    <w:p w14:paraId="10004735" w14:textId="30B0A6E2" w:rsidR="00807924" w:rsidRDefault="00807924" w:rsidP="00807924">
      <w:pPr>
        <w:suppressAutoHyphens/>
        <w:autoSpaceDN w:val="0"/>
        <w:jc w:val="both"/>
        <w:textAlignment w:val="baseline"/>
        <w:rPr>
          <w:rFonts w:ascii="Arial" w:hAnsi="Arial" w:cs="Arial"/>
          <w:bCs/>
          <w:sz w:val="20"/>
          <w:szCs w:val="20"/>
        </w:rPr>
      </w:pPr>
    </w:p>
    <w:p w14:paraId="75B87D10" w14:textId="36DBBA76"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El contenido del informe de prospectos para contratos que solo cuentan con áreas en exploración deberá incluir los capítulos del presente contenido, según aplique al tema de prospectos.</w:t>
      </w:r>
    </w:p>
    <w:p w14:paraId="41A2D396" w14:textId="3E4100D1" w:rsidR="00807924" w:rsidRDefault="00807924" w:rsidP="00807924">
      <w:pPr>
        <w:suppressAutoHyphens/>
        <w:autoSpaceDN w:val="0"/>
        <w:jc w:val="both"/>
        <w:textAlignment w:val="baseline"/>
        <w:rPr>
          <w:rFonts w:ascii="Arial" w:hAnsi="Arial" w:cs="Arial"/>
          <w:bCs/>
          <w:sz w:val="20"/>
          <w:szCs w:val="20"/>
        </w:rPr>
      </w:pPr>
    </w:p>
    <w:p w14:paraId="1E9BF63D" w14:textId="616D397F"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En consideración a que los recursos prospectivos generalmente se estiman por métodos probabilísticos, se deben incluir las distribuciones de todos los parámetros que se utilizaron en el modelo probabilístico para calcular las distribuciones de GOES/POES, sus soportes técnicos, más las distribuciones de GOES/POES, mostrando los valores de P10, P50, P90 y la media de los recursos prospectivos.  </w:t>
      </w:r>
    </w:p>
    <w:p w14:paraId="60424658" w14:textId="0E5DF17B"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Se debe utilizar las ‘Tabla de Prospectos’ para presentar las distribuciones probabilísticas.</w:t>
      </w:r>
    </w:p>
    <w:p w14:paraId="6991830B" w14:textId="2113A663"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Se debe incluir dentro de la información proporcionada el riesgo de exploración (oportunidad de éxito) y su derivación. Así mismo la oportunidad de comercialidad y el año estimado de perforación del prospecto.</w:t>
      </w:r>
    </w:p>
    <w:p w14:paraId="0E5D3E7A" w14:textId="0AF91C81" w:rsidR="00807924" w:rsidRDefault="00807924" w:rsidP="00807924">
      <w:pPr>
        <w:tabs>
          <w:tab w:val="left" w:pos="1701"/>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2A327D01" w14:textId="6B26B1CE" w:rsidR="00807924" w:rsidRDefault="00807924" w:rsidP="00807924">
      <w:pPr>
        <w:suppressAutoHyphens/>
        <w:autoSpaceDN w:val="0"/>
        <w:jc w:val="both"/>
        <w:textAlignment w:val="baseline"/>
        <w:rPr>
          <w:rFonts w:ascii="Arial" w:hAnsi="Arial" w:cs="Arial"/>
          <w:sz w:val="20"/>
          <w:szCs w:val="20"/>
        </w:rPr>
      </w:pPr>
    </w:p>
    <w:p w14:paraId="6DF2490E" w14:textId="18260DA2" w:rsidR="00807924" w:rsidRDefault="00807924" w:rsidP="00807924">
      <w:pPr>
        <w:pStyle w:val="Prrafodelista"/>
        <w:numPr>
          <w:ilvl w:val="0"/>
          <w:numId w:val="1"/>
        </w:numPr>
        <w:tabs>
          <w:tab w:val="left" w:pos="1701"/>
          <w:tab w:val="left" w:pos="2880"/>
        </w:tabs>
        <w:suppressAutoHyphens/>
        <w:autoSpaceDE w:val="0"/>
        <w:autoSpaceDN w:val="0"/>
        <w:adjustRightInd w:val="0"/>
        <w:ind w:right="-8"/>
        <w:contextualSpacing/>
        <w:jc w:val="both"/>
        <w:textAlignment w:val="baseline"/>
        <w:rPr>
          <w:rFonts w:ascii="Arial" w:hAnsi="Arial" w:cs="Arial"/>
          <w:b/>
          <w:sz w:val="20"/>
          <w:szCs w:val="20"/>
        </w:rPr>
      </w:pPr>
      <w:r>
        <w:rPr>
          <w:rFonts w:ascii="Arial" w:hAnsi="Arial" w:cs="Arial"/>
          <w:b/>
          <w:sz w:val="20"/>
          <w:szCs w:val="20"/>
        </w:rPr>
        <w:t>RECURSOS NO CONVENCIONALES</w:t>
      </w:r>
    </w:p>
    <w:p w14:paraId="02E9990C" w14:textId="38711218" w:rsidR="00807924" w:rsidRDefault="00807924" w:rsidP="00807924">
      <w:pPr>
        <w:pStyle w:val="Prrafodelista"/>
        <w:suppressAutoHyphens/>
        <w:autoSpaceDN w:val="0"/>
        <w:ind w:left="360"/>
        <w:jc w:val="both"/>
        <w:textAlignment w:val="baseline"/>
        <w:rPr>
          <w:rFonts w:ascii="Arial" w:hAnsi="Arial" w:cs="Arial"/>
          <w:sz w:val="20"/>
          <w:szCs w:val="20"/>
          <w:highlight w:val="yellow"/>
        </w:rPr>
      </w:pPr>
    </w:p>
    <w:p w14:paraId="56A117AE" w14:textId="5CF0AFAD" w:rsidR="00807924" w:rsidRDefault="00807924" w:rsidP="00807924">
      <w:pPr>
        <w:pStyle w:val="Prrafodelista"/>
        <w:suppressAutoHyphens/>
        <w:autoSpaceDN w:val="0"/>
        <w:ind w:left="360"/>
        <w:jc w:val="both"/>
        <w:textAlignment w:val="baseline"/>
        <w:rPr>
          <w:rFonts w:ascii="Arial" w:hAnsi="Arial" w:cs="Arial"/>
          <w:sz w:val="20"/>
          <w:szCs w:val="20"/>
        </w:rPr>
      </w:pPr>
      <w:r>
        <w:rPr>
          <w:rFonts w:ascii="Arial" w:hAnsi="Arial" w:cs="Arial"/>
          <w:sz w:val="20"/>
          <w:szCs w:val="20"/>
        </w:rPr>
        <w:t>Explique en detalle la información suministrada en la Tabla de Recursos No Convencionales</w:t>
      </w:r>
      <w:r w:rsidR="00F0045C">
        <w:rPr>
          <w:rFonts w:ascii="Arial" w:hAnsi="Arial" w:cs="Arial"/>
          <w:sz w:val="20"/>
          <w:szCs w:val="20"/>
        </w:rPr>
        <w:t>, no olvide que independiente del llenado de esta tabla dependiendo del recurso debe diligenciar la tabla respectiva (Tabla Recursos y Reservas, Tabla de Recursos Prospectivos).</w:t>
      </w:r>
    </w:p>
    <w:p w14:paraId="7D166280" w14:textId="34B1580B" w:rsidR="00807924" w:rsidRDefault="00807924" w:rsidP="00807924">
      <w:pPr>
        <w:suppressAutoHyphens/>
        <w:autoSpaceDN w:val="0"/>
        <w:jc w:val="both"/>
        <w:textAlignment w:val="baseline"/>
        <w:rPr>
          <w:rFonts w:ascii="Arial" w:hAnsi="Arial" w:cs="Arial"/>
          <w:sz w:val="20"/>
          <w:szCs w:val="20"/>
        </w:rPr>
      </w:pPr>
    </w:p>
    <w:p w14:paraId="5ECDB5BE" w14:textId="7D33B4D1" w:rsidR="00807924" w:rsidRDefault="00807924" w:rsidP="00807924">
      <w:pPr>
        <w:suppressAutoHyphens/>
        <w:autoSpaceDN w:val="0"/>
        <w:jc w:val="both"/>
        <w:textAlignment w:val="baseline"/>
        <w:rPr>
          <w:rFonts w:ascii="Arial" w:hAnsi="Arial" w:cs="Arial"/>
          <w:sz w:val="20"/>
          <w:szCs w:val="20"/>
        </w:rPr>
      </w:pPr>
    </w:p>
    <w:p w14:paraId="14C233EF" w14:textId="5622E511"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APÉNDICE</w:t>
      </w:r>
    </w:p>
    <w:p w14:paraId="794F1F9A" w14:textId="7D01D8F7" w:rsidR="00807924" w:rsidRDefault="00807924" w:rsidP="00807924">
      <w:pPr>
        <w:suppressAutoHyphens/>
        <w:autoSpaceDN w:val="0"/>
        <w:jc w:val="both"/>
        <w:textAlignment w:val="baseline"/>
        <w:rPr>
          <w:rFonts w:ascii="Arial" w:hAnsi="Arial" w:cs="Arial"/>
          <w:sz w:val="20"/>
          <w:szCs w:val="20"/>
        </w:rPr>
      </w:pPr>
    </w:p>
    <w:p w14:paraId="6B7C5798" w14:textId="7B6E9DC2"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Corridas Económicas</w:t>
      </w:r>
    </w:p>
    <w:p w14:paraId="1C395DC7" w14:textId="6D9E48E7" w:rsidR="00807924" w:rsidRDefault="00807924" w:rsidP="00807924">
      <w:pPr>
        <w:suppressAutoHyphens/>
        <w:autoSpaceDN w:val="0"/>
        <w:jc w:val="both"/>
        <w:textAlignment w:val="baseline"/>
        <w:rPr>
          <w:rFonts w:ascii="Arial" w:hAnsi="Arial" w:cs="Arial"/>
          <w:sz w:val="20"/>
          <w:szCs w:val="20"/>
        </w:rPr>
      </w:pPr>
    </w:p>
    <w:p w14:paraId="5FCF62FF" w14:textId="5C236AA3" w:rsidR="00807924" w:rsidRDefault="00807924" w:rsidP="00807924">
      <w:pPr>
        <w:suppressAutoHyphens/>
        <w:autoSpaceDN w:val="0"/>
        <w:ind w:left="426"/>
        <w:jc w:val="both"/>
        <w:textAlignment w:val="baseline"/>
        <w:rPr>
          <w:rFonts w:ascii="Arial" w:hAnsi="Arial" w:cs="Arial"/>
          <w:sz w:val="20"/>
          <w:szCs w:val="20"/>
        </w:rPr>
      </w:pPr>
      <w:r>
        <w:rPr>
          <w:rFonts w:ascii="Arial" w:hAnsi="Arial" w:cs="Arial"/>
          <w:sz w:val="20"/>
          <w:szCs w:val="20"/>
        </w:rPr>
        <w:t>Corridas económicas por campo, contrato, y total de la compañía efectivas hasta la vida económica de las propiedades. Las corridas económicas deben contener las siguientes proyecciones:</w:t>
      </w:r>
    </w:p>
    <w:p w14:paraId="3215CA52" w14:textId="236A03C6" w:rsidR="00807924" w:rsidRDefault="00807924" w:rsidP="00807924">
      <w:pPr>
        <w:suppressAutoHyphens/>
        <w:autoSpaceDN w:val="0"/>
        <w:jc w:val="both"/>
        <w:textAlignment w:val="baseline"/>
        <w:rPr>
          <w:rFonts w:ascii="Arial" w:hAnsi="Arial" w:cs="Arial"/>
          <w:sz w:val="20"/>
          <w:szCs w:val="20"/>
        </w:rPr>
      </w:pPr>
    </w:p>
    <w:p w14:paraId="08FF8508"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Reservas brutas y netas</w:t>
      </w:r>
    </w:p>
    <w:p w14:paraId="4D9F4432" w14:textId="59AAEC30"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Precios de petróleo, gas, y líquidos</w:t>
      </w:r>
    </w:p>
    <w:p w14:paraId="72080628" w14:textId="28E5C34F"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Deducciones a los ingresos</w:t>
      </w:r>
    </w:p>
    <w:p w14:paraId="38E11E20"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operativos</w:t>
      </w:r>
    </w:p>
    <w:p w14:paraId="2F4D7330" w14:textId="6BF7E02D"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capitales</w:t>
      </w:r>
    </w:p>
    <w:p w14:paraId="4948CFCE" w14:textId="3CDC530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de abandono</w:t>
      </w:r>
    </w:p>
    <w:p w14:paraId="0958E3BC" w14:textId="74E1E92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Otros costos, si los hay</w:t>
      </w:r>
    </w:p>
    <w:p w14:paraId="32256B3B" w14:textId="09E2F484"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Ingresos futuros brutos</w:t>
      </w:r>
    </w:p>
    <w:p w14:paraId="608F784B" w14:textId="4C07B8E6" w:rsidR="00807924" w:rsidRDefault="00807924" w:rsidP="00807924">
      <w:pPr>
        <w:tabs>
          <w:tab w:val="left" w:pos="720"/>
          <w:tab w:val="left" w:pos="1701"/>
          <w:tab w:val="left" w:pos="2160"/>
          <w:tab w:val="left" w:pos="2880"/>
        </w:tabs>
        <w:autoSpaceDE w:val="0"/>
        <w:autoSpaceDN w:val="0"/>
        <w:adjustRightInd w:val="0"/>
        <w:ind w:right="-8"/>
        <w:contextualSpacing/>
        <w:jc w:val="both"/>
        <w:rPr>
          <w:rFonts w:ascii="Arial" w:hAnsi="Arial" w:cs="Arial"/>
          <w:sz w:val="20"/>
          <w:szCs w:val="20"/>
        </w:rPr>
      </w:pPr>
    </w:p>
    <w:p w14:paraId="7B06C87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Mapas</w:t>
      </w:r>
    </w:p>
    <w:p w14:paraId="4E4624D2" w14:textId="77777777" w:rsidR="00807924" w:rsidRDefault="00807924" w:rsidP="00807924">
      <w:pPr>
        <w:suppressAutoHyphens/>
        <w:autoSpaceDN w:val="0"/>
        <w:jc w:val="both"/>
        <w:textAlignment w:val="baseline"/>
        <w:rPr>
          <w:rFonts w:ascii="Arial" w:hAnsi="Arial" w:cs="Arial"/>
          <w:sz w:val="20"/>
          <w:szCs w:val="20"/>
        </w:rPr>
      </w:pPr>
    </w:p>
    <w:p w14:paraId="73FF7C27" w14:textId="550FFB53" w:rsidR="00807924" w:rsidRDefault="00807924" w:rsidP="00807924">
      <w:pPr>
        <w:suppressAutoHyphens/>
        <w:autoSpaceDN w:val="0"/>
        <w:jc w:val="both"/>
        <w:textAlignment w:val="baseline"/>
        <w:rPr>
          <w:rFonts w:ascii="Arial" w:hAnsi="Arial" w:cs="Arial"/>
          <w:sz w:val="20"/>
          <w:szCs w:val="20"/>
        </w:rPr>
      </w:pPr>
      <w:r>
        <w:rPr>
          <w:rFonts w:ascii="Arial" w:hAnsi="Arial" w:cs="Arial"/>
          <w:sz w:val="20"/>
          <w:szCs w:val="20"/>
        </w:rPr>
        <w:t>Los mapas deben presentarse en formato JP</w:t>
      </w:r>
      <w:r w:rsidR="008D72C8">
        <w:rPr>
          <w:rFonts w:ascii="Arial" w:hAnsi="Arial" w:cs="Arial"/>
          <w:sz w:val="20"/>
          <w:szCs w:val="20"/>
        </w:rPr>
        <w:t>E</w:t>
      </w:r>
      <w:r>
        <w:rPr>
          <w:rFonts w:ascii="Arial" w:hAnsi="Arial" w:cs="Arial"/>
          <w:sz w:val="20"/>
          <w:szCs w:val="20"/>
        </w:rPr>
        <w:t>G, PNG</w:t>
      </w:r>
      <w:r w:rsidR="008D72C8">
        <w:rPr>
          <w:rFonts w:ascii="Arial" w:hAnsi="Arial" w:cs="Arial"/>
          <w:sz w:val="20"/>
          <w:szCs w:val="20"/>
        </w:rPr>
        <w:t>, GIF, GEOTIFF</w:t>
      </w:r>
      <w:r>
        <w:rPr>
          <w:rFonts w:ascii="Arial" w:hAnsi="Arial" w:cs="Arial"/>
          <w:sz w:val="20"/>
          <w:szCs w:val="20"/>
        </w:rPr>
        <w:t xml:space="preserve"> o TIFF</w:t>
      </w:r>
      <w:r w:rsidR="008D72C8">
        <w:rPr>
          <w:rFonts w:ascii="Arial" w:hAnsi="Arial" w:cs="Arial"/>
          <w:sz w:val="20"/>
          <w:szCs w:val="20"/>
        </w:rPr>
        <w:t xml:space="preserve"> con resolución mínima de 300 DPI legibles</w:t>
      </w:r>
      <w:r>
        <w:rPr>
          <w:rFonts w:ascii="Arial" w:hAnsi="Arial" w:cs="Arial"/>
          <w:sz w:val="20"/>
          <w:szCs w:val="20"/>
        </w:rPr>
        <w:t xml:space="preserve">, en coordenadas Datum Magna Sirgas origen </w:t>
      </w:r>
      <w:r w:rsidR="008D72C8">
        <w:rPr>
          <w:rFonts w:ascii="Arial" w:hAnsi="Arial" w:cs="Arial"/>
          <w:sz w:val="20"/>
          <w:szCs w:val="20"/>
        </w:rPr>
        <w:t>Central (denominado hasta el 2011 como origen Bogotá)</w:t>
      </w:r>
      <w:r>
        <w:rPr>
          <w:rFonts w:ascii="Arial" w:hAnsi="Arial" w:cs="Arial"/>
          <w:sz w:val="20"/>
          <w:szCs w:val="20"/>
        </w:rPr>
        <w:t>, debidamente georreferenciados. (Los mapas deben ser cargados en el servicio FTP).</w:t>
      </w:r>
      <w:r w:rsidR="004F2B2A">
        <w:rPr>
          <w:rFonts w:ascii="Arial" w:hAnsi="Arial" w:cs="Arial"/>
          <w:sz w:val="20"/>
          <w:szCs w:val="20"/>
        </w:rPr>
        <w:t xml:space="preserve"> L</w:t>
      </w:r>
      <w:r w:rsidR="004F2B2A" w:rsidRPr="004F2B2A">
        <w:rPr>
          <w:rFonts w:ascii="Arial" w:hAnsi="Arial" w:cs="Arial"/>
          <w:sz w:val="20"/>
          <w:szCs w:val="20"/>
        </w:rPr>
        <w:t xml:space="preserve">os mapas deben cumplir con lo indicado en el Instructivo </w:t>
      </w:r>
      <w:r w:rsidR="004F2B2A">
        <w:rPr>
          <w:rFonts w:ascii="Arial" w:hAnsi="Arial" w:cs="Arial"/>
          <w:sz w:val="20"/>
          <w:szCs w:val="20"/>
        </w:rPr>
        <w:t xml:space="preserve">de </w:t>
      </w:r>
      <w:r w:rsidR="004F2B2A" w:rsidRPr="004F2B2A">
        <w:rPr>
          <w:rFonts w:ascii="Arial" w:hAnsi="Arial" w:cs="Arial"/>
          <w:sz w:val="20"/>
          <w:szCs w:val="20"/>
        </w:rPr>
        <w:t>Presentación</w:t>
      </w:r>
      <w:r w:rsidR="004F2B2A">
        <w:rPr>
          <w:rFonts w:ascii="Arial" w:hAnsi="Arial" w:cs="Arial"/>
          <w:sz w:val="20"/>
          <w:szCs w:val="20"/>
        </w:rPr>
        <w:t xml:space="preserve"> de</w:t>
      </w:r>
      <w:r w:rsidR="004F2B2A" w:rsidRPr="004F2B2A">
        <w:rPr>
          <w:rFonts w:ascii="Arial" w:hAnsi="Arial" w:cs="Arial"/>
          <w:sz w:val="20"/>
          <w:szCs w:val="20"/>
        </w:rPr>
        <w:t xml:space="preserve"> Mapas</w:t>
      </w:r>
      <w:r w:rsidR="004F2B2A">
        <w:rPr>
          <w:rFonts w:ascii="Arial" w:hAnsi="Arial" w:cs="Arial"/>
          <w:sz w:val="20"/>
          <w:szCs w:val="20"/>
        </w:rPr>
        <w:t xml:space="preserve"> </w:t>
      </w:r>
      <w:r w:rsidR="004F2B2A" w:rsidRPr="004F2B2A">
        <w:rPr>
          <w:rFonts w:ascii="Arial" w:hAnsi="Arial" w:cs="Arial"/>
          <w:sz w:val="20"/>
          <w:szCs w:val="20"/>
        </w:rPr>
        <w:t>que se encuentre vigente</w:t>
      </w:r>
      <w:r w:rsidR="004F2B2A">
        <w:rPr>
          <w:rFonts w:ascii="Arial" w:hAnsi="Arial" w:cs="Arial"/>
          <w:sz w:val="20"/>
          <w:szCs w:val="20"/>
        </w:rPr>
        <w:t>.</w:t>
      </w:r>
    </w:p>
    <w:p w14:paraId="2B4AEBA4" w14:textId="77777777" w:rsidR="00807924" w:rsidRDefault="00807924" w:rsidP="00807924">
      <w:pPr>
        <w:suppressAutoHyphens/>
        <w:autoSpaceDN w:val="0"/>
        <w:jc w:val="both"/>
        <w:textAlignment w:val="baseline"/>
        <w:rPr>
          <w:rFonts w:ascii="Arial" w:hAnsi="Arial" w:cs="Arial"/>
          <w:sz w:val="20"/>
          <w:szCs w:val="20"/>
        </w:rPr>
      </w:pPr>
    </w:p>
    <w:p w14:paraId="743EB5A3"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Mapas estructurales en profundidad por yacimiento – 1P, y si existen, 2P y 3P.  Se deben localizar los pozos futuros discriminados por categoría probada, probable y posible</w:t>
      </w:r>
    </w:p>
    <w:p w14:paraId="24CB1DDC"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 xml:space="preserve">Mapas </w:t>
      </w:r>
      <w:proofErr w:type="spellStart"/>
      <w:r>
        <w:rPr>
          <w:rFonts w:ascii="Arial" w:hAnsi="Arial" w:cs="Arial"/>
          <w:bCs/>
          <w:sz w:val="20"/>
          <w:szCs w:val="20"/>
          <w:lang w:val="es-CO"/>
        </w:rPr>
        <w:t>isócoros</w:t>
      </w:r>
      <w:proofErr w:type="spellEnd"/>
      <w:r>
        <w:rPr>
          <w:rFonts w:ascii="Arial" w:hAnsi="Arial" w:cs="Arial"/>
          <w:bCs/>
          <w:sz w:val="20"/>
          <w:szCs w:val="20"/>
          <w:lang w:val="es-CO"/>
        </w:rPr>
        <w:t xml:space="preserve"> o </w:t>
      </w:r>
      <w:proofErr w:type="spellStart"/>
      <w:r>
        <w:rPr>
          <w:rFonts w:ascii="Arial" w:hAnsi="Arial" w:cs="Arial"/>
          <w:bCs/>
          <w:sz w:val="20"/>
          <w:szCs w:val="20"/>
          <w:lang w:val="es-CO"/>
        </w:rPr>
        <w:t>isópacos</w:t>
      </w:r>
      <w:proofErr w:type="spellEnd"/>
      <w:r>
        <w:rPr>
          <w:rFonts w:ascii="Arial" w:hAnsi="Arial" w:cs="Arial"/>
          <w:bCs/>
          <w:sz w:val="20"/>
          <w:szCs w:val="20"/>
          <w:lang w:val="es-CO"/>
        </w:rPr>
        <w:t xml:space="preserve"> de espesor neto impregnado con hidrocarburo – 1P y si existen, 2P y 3P. Se deben localizar los pozos futuros discriminados por su categoría probada, probable y posible</w:t>
      </w:r>
    </w:p>
    <w:p w14:paraId="1F454D47"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Mapas sísmicos de los leads y prospectos mostrando los límites del caso bajo, mejor caso, y el caso alto que se utilizaron para estimar probabilísticamente los recursos prospectivos.</w:t>
      </w:r>
    </w:p>
    <w:p w14:paraId="40B253CA" w14:textId="77777777" w:rsidR="00807924" w:rsidRDefault="00807924" w:rsidP="00807924">
      <w:pPr>
        <w:tabs>
          <w:tab w:val="left" w:pos="720"/>
          <w:tab w:val="left" w:pos="1701"/>
          <w:tab w:val="left" w:pos="2160"/>
        </w:tabs>
        <w:suppressAutoHyphens/>
        <w:autoSpaceDE w:val="0"/>
        <w:autoSpaceDN w:val="0"/>
        <w:adjustRightInd w:val="0"/>
        <w:ind w:left="1701" w:right="-8"/>
        <w:jc w:val="both"/>
        <w:textAlignment w:val="baseline"/>
        <w:rPr>
          <w:rFonts w:ascii="Arial" w:hAnsi="Arial" w:cs="Arial"/>
          <w:bCs/>
          <w:sz w:val="20"/>
          <w:szCs w:val="20"/>
          <w:lang w:val="es-CO"/>
        </w:rPr>
      </w:pPr>
    </w:p>
    <w:p w14:paraId="144552AA" w14:textId="77777777" w:rsidR="00807924" w:rsidRDefault="00807924" w:rsidP="00807924">
      <w:pPr>
        <w:pStyle w:val="Prrafodelista"/>
        <w:numPr>
          <w:ilvl w:val="1"/>
          <w:numId w:val="1"/>
        </w:numPr>
        <w:rPr>
          <w:rFonts w:ascii="Arial" w:hAnsi="Arial" w:cs="Arial"/>
          <w:bCs/>
          <w:sz w:val="20"/>
          <w:szCs w:val="20"/>
          <w:lang w:val="es-CO"/>
        </w:rPr>
      </w:pPr>
      <w:r>
        <w:rPr>
          <w:rFonts w:ascii="Arial" w:hAnsi="Arial" w:cs="Arial"/>
          <w:bCs/>
          <w:sz w:val="20"/>
          <w:szCs w:val="20"/>
          <w:lang w:val="es-CO"/>
        </w:rPr>
        <w:t>Gráficos (Los archivos deben ser cargados en el servicio FTP).</w:t>
      </w:r>
    </w:p>
    <w:p w14:paraId="4280F4E9" w14:textId="77777777" w:rsidR="00807924" w:rsidRDefault="00807924" w:rsidP="00807924">
      <w:pPr>
        <w:tabs>
          <w:tab w:val="left" w:pos="1701"/>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68406E7A" w14:textId="77777777" w:rsidR="00807924" w:rsidRDefault="00807924" w:rsidP="00807924">
      <w:pPr>
        <w:tabs>
          <w:tab w:val="left" w:pos="720"/>
          <w:tab w:val="left" w:pos="1701"/>
          <w:tab w:val="left" w:pos="2160"/>
          <w:tab w:val="left" w:pos="2880"/>
        </w:tabs>
        <w:suppressAutoHyphens/>
        <w:autoSpaceDE w:val="0"/>
        <w:autoSpaceDN w:val="0"/>
        <w:adjustRightInd w:val="0"/>
        <w:ind w:left="720" w:right="-8"/>
        <w:jc w:val="both"/>
        <w:textAlignment w:val="baseline"/>
        <w:rPr>
          <w:rFonts w:ascii="Arial" w:hAnsi="Arial" w:cs="Arial"/>
          <w:b/>
          <w:sz w:val="20"/>
          <w:szCs w:val="20"/>
          <w:lang w:val="es-CO"/>
        </w:rPr>
      </w:pPr>
    </w:p>
    <w:p w14:paraId="0ADB2460"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 xml:space="preserve">Gráfico a nivel de campo de producción histórica más los siguientes pronósticos de reservas y recursos; </w:t>
      </w:r>
    </w:p>
    <w:p w14:paraId="140F397D"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 xml:space="preserve">Pronóstico de las reservas probadas en producción (PDP) </w:t>
      </w:r>
    </w:p>
    <w:p w14:paraId="271D363F"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totales (PT) compuesto por el resumen de las PDP más las probadas no produciendo (PNP), más las probadas no desarrolladas (PND).</w:t>
      </w:r>
    </w:p>
    <w:p w14:paraId="26B6CD74"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más probables (2P)</w:t>
      </w:r>
    </w:p>
    <w:p w14:paraId="4DF4A851"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más las probables y posibles (3P).</w:t>
      </w:r>
    </w:p>
    <w:p w14:paraId="3DEA08B6" w14:textId="77777777" w:rsidR="00807924" w:rsidRDefault="00807924" w:rsidP="00807924">
      <w:pPr>
        <w:tabs>
          <w:tab w:val="left" w:pos="1701"/>
          <w:tab w:val="left" w:pos="2880"/>
        </w:tabs>
        <w:autoSpaceDE w:val="0"/>
        <w:adjustRightInd w:val="0"/>
        <w:ind w:left="1701" w:right="-8"/>
        <w:contextualSpacing/>
        <w:jc w:val="both"/>
        <w:rPr>
          <w:rFonts w:ascii="Arial" w:hAnsi="Arial" w:cs="Arial"/>
          <w:sz w:val="20"/>
          <w:szCs w:val="20"/>
        </w:rPr>
      </w:pPr>
      <w:r>
        <w:rPr>
          <w:rFonts w:ascii="Arial" w:hAnsi="Arial" w:cs="Arial"/>
          <w:sz w:val="20"/>
          <w:szCs w:val="20"/>
        </w:rPr>
        <w:t xml:space="preserve">El gráfico debe ser tipo </w:t>
      </w:r>
      <w:proofErr w:type="spellStart"/>
      <w:r>
        <w:rPr>
          <w:rFonts w:ascii="Arial" w:hAnsi="Arial" w:cs="Arial"/>
          <w:sz w:val="20"/>
          <w:szCs w:val="20"/>
        </w:rPr>
        <w:t>Semi-log</w:t>
      </w:r>
      <w:proofErr w:type="spellEnd"/>
      <w:r>
        <w:rPr>
          <w:rFonts w:ascii="Arial" w:hAnsi="Arial" w:cs="Arial"/>
          <w:sz w:val="20"/>
          <w:szCs w:val="20"/>
        </w:rPr>
        <w:t xml:space="preserve"> de Producción vs. Tiempo y las proyecciones podrán ser hasta la vida económica del campo y por lo tanto incluiría los recursos contingentes</w:t>
      </w:r>
    </w:p>
    <w:p w14:paraId="565D0D6D" w14:textId="77777777" w:rsidR="00807924" w:rsidRDefault="00807924" w:rsidP="00807924">
      <w:pPr>
        <w:pStyle w:val="Prrafodelista"/>
        <w:numPr>
          <w:ilvl w:val="2"/>
          <w:numId w:val="1"/>
        </w:numPr>
        <w:tabs>
          <w:tab w:val="left" w:pos="720"/>
          <w:tab w:val="left" w:pos="1701"/>
          <w:tab w:val="left" w:pos="2160"/>
          <w:tab w:val="left" w:pos="2880"/>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Para los yacimientos de gas se debe incluir el gráfico de P/Z vs. Acumulada en caso de que forme parte de la estimación de reservas</w:t>
      </w:r>
    </w:p>
    <w:p w14:paraId="4AD8EA3C" w14:textId="77777777" w:rsidR="00807924" w:rsidRDefault="00807924" w:rsidP="00807924">
      <w:pPr>
        <w:pStyle w:val="Prrafodelista"/>
        <w:numPr>
          <w:ilvl w:val="2"/>
          <w:numId w:val="1"/>
        </w:numPr>
        <w:tabs>
          <w:tab w:val="left" w:pos="720"/>
          <w:tab w:val="left" w:pos="1701"/>
          <w:tab w:val="left" w:pos="2160"/>
          <w:tab w:val="left" w:pos="2880"/>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Para los yacimientos de petróleo se debe incluir el gráfico de balance de materiales en caso de que forme parte del análisis de reservas</w:t>
      </w:r>
    </w:p>
    <w:p w14:paraId="7E9EDF41" w14:textId="77777777" w:rsidR="00807924" w:rsidRDefault="00807924" w:rsidP="00807924">
      <w:pPr>
        <w:pStyle w:val="Prrafodelista"/>
        <w:tabs>
          <w:tab w:val="left" w:pos="720"/>
          <w:tab w:val="left" w:pos="1701"/>
          <w:tab w:val="left" w:pos="2160"/>
          <w:tab w:val="left" w:pos="2880"/>
        </w:tabs>
        <w:autoSpaceDE w:val="0"/>
        <w:adjustRightInd w:val="0"/>
        <w:ind w:left="1701" w:right="-8"/>
        <w:jc w:val="both"/>
        <w:rPr>
          <w:rFonts w:ascii="Arial" w:hAnsi="Arial" w:cs="Arial"/>
          <w:sz w:val="20"/>
          <w:szCs w:val="20"/>
        </w:rPr>
      </w:pPr>
    </w:p>
    <w:p w14:paraId="2FE7AA30" w14:textId="4DF32356" w:rsidR="00807924" w:rsidRDefault="00807924" w:rsidP="00807924">
      <w:pPr>
        <w:pStyle w:val="Prrafodelista"/>
        <w:numPr>
          <w:ilvl w:val="1"/>
          <w:numId w:val="1"/>
        </w:numPr>
        <w:tabs>
          <w:tab w:val="left" w:pos="1701"/>
          <w:tab w:val="left" w:pos="2880"/>
        </w:tabs>
        <w:autoSpaceDE w:val="0"/>
        <w:autoSpaceDN w:val="0"/>
        <w:adjustRightInd w:val="0"/>
        <w:ind w:right="-8"/>
        <w:contextualSpacing/>
        <w:jc w:val="both"/>
        <w:rPr>
          <w:rFonts w:ascii="Arial" w:hAnsi="Arial" w:cs="Arial"/>
          <w:sz w:val="20"/>
          <w:szCs w:val="20"/>
        </w:rPr>
      </w:pPr>
      <w:r>
        <w:rPr>
          <w:rFonts w:ascii="Arial" w:hAnsi="Arial" w:cs="Arial"/>
          <w:sz w:val="20"/>
          <w:szCs w:val="20"/>
        </w:rPr>
        <w:t>Tablas Adicionales y Presentaciones. (Los archivos deben ser cargados en el servicio FTP).</w:t>
      </w:r>
    </w:p>
    <w:p w14:paraId="6578CABA" w14:textId="77777777" w:rsidR="00807924" w:rsidRDefault="00807924" w:rsidP="00807924">
      <w:pPr>
        <w:pStyle w:val="Prrafodelista"/>
        <w:tabs>
          <w:tab w:val="left" w:pos="720"/>
          <w:tab w:val="left" w:pos="1701"/>
          <w:tab w:val="left" w:pos="2160"/>
          <w:tab w:val="left" w:pos="2880"/>
        </w:tabs>
        <w:autoSpaceDE w:val="0"/>
        <w:adjustRightInd w:val="0"/>
        <w:ind w:right="-8"/>
        <w:jc w:val="both"/>
        <w:rPr>
          <w:rFonts w:ascii="Arial" w:hAnsi="Arial" w:cs="Arial"/>
          <w:b/>
          <w:bCs/>
          <w:sz w:val="20"/>
          <w:szCs w:val="20"/>
        </w:rPr>
      </w:pPr>
    </w:p>
    <w:p w14:paraId="660632DC" w14:textId="77777777" w:rsidR="00807924" w:rsidRDefault="00807924" w:rsidP="00807924">
      <w:pPr>
        <w:pStyle w:val="Prrafodelista"/>
        <w:numPr>
          <w:ilvl w:val="2"/>
          <w:numId w:val="1"/>
        </w:numPr>
        <w:tabs>
          <w:tab w:val="left" w:pos="993"/>
          <w:tab w:val="left" w:pos="1701"/>
          <w:tab w:val="left" w:pos="2127"/>
          <w:tab w:val="left" w:pos="2835"/>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Presentación de la columna estratigráfica del área</w:t>
      </w:r>
    </w:p>
    <w:p w14:paraId="16DA1457" w14:textId="77777777" w:rsidR="00807924" w:rsidRDefault="00807924" w:rsidP="00807924">
      <w:pPr>
        <w:pStyle w:val="Prrafodelista"/>
        <w:numPr>
          <w:ilvl w:val="2"/>
          <w:numId w:val="1"/>
        </w:numPr>
        <w:tabs>
          <w:tab w:val="left" w:pos="993"/>
          <w:tab w:val="left" w:pos="1701"/>
          <w:tab w:val="left" w:pos="2160"/>
          <w:tab w:val="left" w:pos="2880"/>
          <w:tab w:val="left" w:pos="3544"/>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 xml:space="preserve">En caso de que las reservas hayan sido estimadas por volumetría se deben incluir las tablas petrofísicas indicando los yacimientos analizados, topes o cimas y bases, espesor total de la arena, espesor de la arena neta, porosidad y saturación para cada yacimiento considerado </w:t>
      </w:r>
    </w:p>
    <w:p w14:paraId="474B0F18" w14:textId="77777777" w:rsidR="00807924" w:rsidRDefault="00807924" w:rsidP="00807924">
      <w:pPr>
        <w:pStyle w:val="Prrafodelista"/>
        <w:tabs>
          <w:tab w:val="left" w:pos="993"/>
          <w:tab w:val="left" w:pos="1701"/>
          <w:tab w:val="left" w:pos="2160"/>
          <w:tab w:val="left" w:pos="2880"/>
          <w:tab w:val="left" w:pos="3544"/>
        </w:tabs>
        <w:autoSpaceDE w:val="0"/>
        <w:adjustRightInd w:val="0"/>
        <w:ind w:left="1701" w:right="-8"/>
        <w:jc w:val="both"/>
        <w:rPr>
          <w:rFonts w:ascii="Arial" w:hAnsi="Arial" w:cs="Arial"/>
          <w:sz w:val="20"/>
          <w:szCs w:val="20"/>
        </w:rPr>
      </w:pPr>
    </w:p>
    <w:p w14:paraId="258EDC1E" w14:textId="77777777" w:rsidR="00807924" w:rsidRDefault="00807924" w:rsidP="00807924">
      <w:pPr>
        <w:pStyle w:val="Prrafodelista"/>
        <w:numPr>
          <w:ilvl w:val="1"/>
          <w:numId w:val="1"/>
        </w:numPr>
        <w:tabs>
          <w:tab w:val="left" w:pos="1701"/>
          <w:tab w:val="left" w:pos="2880"/>
        </w:tabs>
        <w:autoSpaceDE w:val="0"/>
        <w:autoSpaceDN w:val="0"/>
        <w:adjustRightInd w:val="0"/>
        <w:ind w:left="1701" w:right="-8" w:hanging="1341"/>
        <w:contextualSpacing/>
        <w:jc w:val="both"/>
        <w:rPr>
          <w:rFonts w:ascii="Arial" w:hAnsi="Arial" w:cs="Arial"/>
          <w:sz w:val="20"/>
          <w:szCs w:val="20"/>
        </w:rPr>
      </w:pPr>
      <w:r>
        <w:rPr>
          <w:rFonts w:ascii="Arial" w:hAnsi="Arial" w:cs="Arial"/>
          <w:sz w:val="20"/>
          <w:szCs w:val="20"/>
        </w:rPr>
        <w:t>Gráficas, planos, mapas, figuras y otros documentos. (Según Artículo 6 de la presente Resolución).</w:t>
      </w:r>
    </w:p>
    <w:p w14:paraId="749F40EA" w14:textId="77777777" w:rsidR="00807924" w:rsidRDefault="00807924" w:rsidP="00807924">
      <w:pPr>
        <w:pStyle w:val="Prrafodelista"/>
        <w:tabs>
          <w:tab w:val="left" w:pos="1701"/>
          <w:tab w:val="left" w:pos="2880"/>
        </w:tabs>
        <w:autoSpaceDE w:val="0"/>
        <w:autoSpaceDN w:val="0"/>
        <w:adjustRightInd w:val="0"/>
        <w:ind w:left="1701" w:right="-8"/>
        <w:contextualSpacing/>
        <w:jc w:val="both"/>
        <w:rPr>
          <w:rFonts w:ascii="Arial" w:hAnsi="Arial" w:cs="Arial"/>
          <w:sz w:val="20"/>
          <w:szCs w:val="20"/>
        </w:rPr>
      </w:pPr>
    </w:p>
    <w:p w14:paraId="1C8A3EEE" w14:textId="77777777" w:rsidR="00807924" w:rsidRDefault="00807924" w:rsidP="00807924">
      <w:pPr>
        <w:pStyle w:val="Prrafodelista"/>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sz w:val="20"/>
          <w:szCs w:val="20"/>
        </w:rPr>
      </w:pPr>
      <w:r w:rsidRPr="00807924">
        <w:rPr>
          <w:rFonts w:ascii="Arial" w:hAnsi="Arial" w:cs="Arial"/>
          <w:sz w:val="20"/>
          <w:szCs w:val="20"/>
        </w:rPr>
        <w:t>Glosario de Términos Empleados en el Reporte</w:t>
      </w:r>
    </w:p>
    <w:sectPr w:rsidR="00807924" w:rsidSect="002A530C">
      <w:headerReference w:type="default" r:id="rId11"/>
      <w:footerReference w:type="default" r:id="rId12"/>
      <w:headerReference w:type="first" r:id="rId13"/>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3426" w14:textId="77777777" w:rsidR="00B41EF6" w:rsidRDefault="00B41EF6" w:rsidP="00B7394F">
      <w:r>
        <w:separator/>
      </w:r>
    </w:p>
  </w:endnote>
  <w:endnote w:type="continuationSeparator" w:id="0">
    <w:p w14:paraId="274D605B" w14:textId="77777777" w:rsidR="00B41EF6" w:rsidRDefault="00B41EF6"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101" w14:textId="4EBA2663" w:rsidR="00FB1444" w:rsidRDefault="00FB1444">
    <w:pPr>
      <w:pStyle w:val="Piedepgina"/>
    </w:pPr>
    <w:r>
      <w:rPr>
        <w:noProof/>
        <w:lang w:val="es-CO" w:eastAsia="es-CO"/>
      </w:rPr>
      <mc:AlternateContent>
        <mc:Choice Requires="wps">
          <w:drawing>
            <wp:anchor distT="0" distB="0" distL="114300" distR="114300" simplePos="0" relativeHeight="251663872" behindDoc="0" locked="0" layoutInCell="1" allowOverlap="1" wp14:anchorId="565F7ACE" wp14:editId="27F71EAF">
              <wp:simplePos x="0" y="0"/>
              <wp:positionH relativeFrom="column">
                <wp:posOffset>0</wp:posOffset>
              </wp:positionH>
              <wp:positionV relativeFrom="paragraph">
                <wp:posOffset>0</wp:posOffset>
              </wp:positionV>
              <wp:extent cx="5962650" cy="619125"/>
              <wp:effectExtent l="0" t="0" r="0" b="9525"/>
              <wp:wrapNone/>
              <wp:docPr id="14" name="5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0DF08" w14:textId="77777777" w:rsidR="00FB1444" w:rsidRPr="003144A7" w:rsidRDefault="00FB1444" w:rsidP="00FB1444">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F7ACE" id="_x0000_t202" coordsize="21600,21600" o:spt="202" path="m,l,21600r21600,l21600,xe">
              <v:stroke joinstyle="miter"/>
              <v:path gradientshapeok="t" o:connecttype="rect"/>
            </v:shapetype>
            <v:shape id="5 Cuadro de texto" o:spid="_x0000_s1027" type="#_x0000_t202" style="position:absolute;margin-left:0;margin-top:0;width:469.5pt;height:4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6kQIAAJkFAAAOAAAAZHJzL2Uyb0RvYy54bWysVE1v2zAMvQ/YfxB0X51kSbYEdYosRYcB&#10;RVusHXpWZKkRJomapMTOfn0p2U6yrpcOu9iU+EiKjx/nF43RZCd8UGBLOjwbUCIsh0rZp5L+eLj6&#10;8JmSEJmtmAYrSroXgV4s3r87r91cjGADuhKeoBMb5rUr6SZGNy+KwDfCsHAGTlhUSvCGRTz6p6Ly&#10;rEbvRhejwWBa1OAr54GLEPD2slXSRfYvpeDxVsogItElxbfF/PX5u07fYnHO5k+euY3i3TPYP7zC&#10;MGUx6MHVJYuMbL36y5VR3EMAGc84mAKkVFzkHDCb4eBFNvcb5kTOBckJ7kBT+H9u+c3uzhNVYe3G&#10;lFhmsEYTstqyygOpBImiiZBYql2YI/jeITw2X6BBi/4+4GVKvpHepD+mRVCPfO8PHKMfwvFyMpuO&#10;phNUcdRNh7PhaJLcFEdr50P8KsCQJJTUYw0ztWx3HWIL7SEpWACtqiuldT6kvhEr7cmOYcV1zG9E&#10;53+gtCU1Bv+Iz0hGFpJ561nbdCNy53ThUuZthlmKey0SRtvvQiJzOdFXYjPOhT3Ez+iEkhjqLYYd&#10;/viqtxi3eaBFjgw2HoyNsuBz9nnUjpRVP3vKZIvH2pzkncTYrJu2ZfoGWEO1x77w0M5XcPxKYfGu&#10;WYh3zONAYb1xScRb/EgNSD50EiUb8L9fu0947HPUUlLjgJY0/NoyLyjR3yxOwGw4HqeJzofx5NMI&#10;D/5Usz7V2K1ZAXbEENeR41lM+Kh7UXowj7hLlikqqpjlGLuksRdXsV0buIu4WC4zCGfYsXht7x1P&#10;rhPLqTUfmkfmXde/aYJuoB9lNn/Rxi02WVpYbiNIlXs88dyy2vGP85+npNtVacGcnjPquFEXzwAA&#10;AP//AwBQSwMEFAAGAAgAAAAhAEMr+ZPcAAAABAEAAA8AAABkcnMvZG93bnJldi54bWxMj0tLxEAQ&#10;hO+C/2FowYu4Ew3rujGTRcQHeHPjA2+9mTYJZnpCZjaJ/97Wi16aLqqp/irfzK5TIw2h9WzgbJGA&#10;Iq68bbk28FzenV6CChHZYueZDHxRgE1xeJBjZv3ETzRuY60khEOGBpoY+0zrUDXkMCx8Tyzehx8c&#10;RpFDre2Ak4S7Tp8nyYV22LJ8aLCnm4aqz+3eGXg/qd8ew3z/MqXLtL99GMvVqy2NOT6ar69ARZrj&#10;3zH84As6FMK083u2QXUGpEj8neKt07XInSyrJegi1//hi28AAAD//wMAUEsBAi0AFAAGAAgAAAAh&#10;ALaDOJL+AAAA4QEAABMAAAAAAAAAAAAAAAAAAAAAAFtDb250ZW50X1R5cGVzXS54bWxQSwECLQAU&#10;AAYACAAAACEAOP0h/9YAAACUAQAACwAAAAAAAAAAAAAAAAAvAQAAX3JlbHMvLnJlbHNQSwECLQAU&#10;AAYACAAAACEALAm2OpECAACZBQAADgAAAAAAAAAAAAAAAAAuAgAAZHJzL2Uyb0RvYy54bWxQSwEC&#10;LQAUAAYACAAAACEAQyv5k9wAAAAEAQAADwAAAAAAAAAAAAAAAADrBAAAZHJzL2Rvd25yZXYueG1s&#10;UEsFBgAAAAAEAAQA8wAAAPQFAAAAAA==&#10;" fillcolor="white [3201]" stroked="f" strokeweight=".5pt">
              <v:textbox>
                <w:txbxContent>
                  <w:p w14:paraId="2F10DF08" w14:textId="77777777" w:rsidR="00FB1444" w:rsidRPr="003144A7" w:rsidRDefault="00FB1444" w:rsidP="00FB1444">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92D1" w14:textId="77777777" w:rsidR="00B41EF6" w:rsidRDefault="00B41EF6" w:rsidP="00B7394F">
      <w:r>
        <w:separator/>
      </w:r>
    </w:p>
  </w:footnote>
  <w:footnote w:type="continuationSeparator" w:id="0">
    <w:p w14:paraId="1C0C974B" w14:textId="77777777" w:rsidR="00B41EF6" w:rsidRDefault="00B41EF6" w:rsidP="00B7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5018" w14:textId="56DCA365"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C874CD">
      <w:rPr>
        <w:rStyle w:val="Nmerodepgina"/>
        <w:b/>
        <w:noProof/>
        <w:sz w:val="18"/>
        <w:szCs w:val="22"/>
      </w:rPr>
      <w:t>6</w:t>
    </w:r>
    <w:r w:rsidRPr="005C5300">
      <w:rPr>
        <w:rStyle w:val="Nmerodepgina"/>
        <w:b/>
        <w:sz w:val="18"/>
        <w:szCs w:val="22"/>
      </w:rPr>
      <w:fldChar w:fldCharType="end"/>
    </w:r>
    <w:r w:rsidRPr="005C5300">
      <w:rPr>
        <w:rStyle w:val="Nmerodepgina"/>
        <w:b/>
        <w:sz w:val="18"/>
        <w:szCs w:val="22"/>
      </w:rPr>
      <w:t xml:space="preserve"> de </w:t>
    </w:r>
    <w:r>
      <w:rPr>
        <w:rStyle w:val="Nmerodepgina"/>
        <w:b/>
        <w:noProof/>
        <w:sz w:val="18"/>
        <w:szCs w:val="22"/>
      </w:rPr>
      <w:fldChar w:fldCharType="begin"/>
    </w:r>
    <w:r>
      <w:rPr>
        <w:rStyle w:val="Nmerodepgina"/>
        <w:b/>
        <w:noProof/>
        <w:sz w:val="18"/>
        <w:szCs w:val="22"/>
      </w:rPr>
      <w:instrText xml:space="preserve"> NUMPAGES   \* MERGEFORMAT </w:instrText>
    </w:r>
    <w:r>
      <w:rPr>
        <w:rStyle w:val="Nmerodepgina"/>
        <w:b/>
        <w:noProof/>
        <w:sz w:val="18"/>
        <w:szCs w:val="22"/>
      </w:rPr>
      <w:fldChar w:fldCharType="separate"/>
    </w:r>
    <w:r w:rsidR="00C874CD">
      <w:rPr>
        <w:rStyle w:val="Nmerodepgina"/>
        <w:b/>
        <w:noProof/>
        <w:sz w:val="18"/>
        <w:szCs w:val="22"/>
      </w:rPr>
      <w:t>6</w:t>
    </w:r>
    <w:r>
      <w:rPr>
        <w:rStyle w:val="Nmerodepgina"/>
        <w:b/>
        <w:noProof/>
        <w:sz w:val="18"/>
        <w:szCs w:val="22"/>
      </w:rPr>
      <w:fldChar w:fldCharType="end"/>
    </w:r>
  </w:p>
  <w:p w14:paraId="47ACF03E" w14:textId="50895124" w:rsidR="00FB1444" w:rsidRDefault="00FB1444" w:rsidP="003E0EA5">
    <w:pPr>
      <w:ind w:left="-426" w:right="-427"/>
      <w:jc w:val="center"/>
      <w:rPr>
        <w:rFonts w:ascii="Arial" w:hAnsi="Arial" w:cs="Arial"/>
        <w:b/>
        <w:sz w:val="22"/>
        <w:szCs w:val="22"/>
        <w:lang w:val="es-CO"/>
      </w:rPr>
    </w:pPr>
  </w:p>
  <w:p w14:paraId="3EFAAB05" w14:textId="117C1E21" w:rsidR="00FB1444" w:rsidRDefault="00FB1444" w:rsidP="003E0EA5">
    <w:pPr>
      <w:ind w:left="-426" w:right="-427"/>
      <w:jc w:val="center"/>
      <w:rPr>
        <w:rFonts w:ascii="Arial" w:hAnsi="Arial" w:cs="Arial"/>
        <w:b/>
        <w:sz w:val="22"/>
        <w:szCs w:val="22"/>
        <w:lang w:val="es-CO"/>
      </w:rPr>
    </w:pPr>
    <w:r>
      <w:rPr>
        <w:noProof/>
        <w:lang w:val="es-CO" w:eastAsia="es-CO"/>
      </w:rPr>
      <mc:AlternateContent>
        <mc:Choice Requires="wps">
          <w:drawing>
            <wp:anchor distT="0" distB="0" distL="114300" distR="114300" simplePos="0" relativeHeight="251661824" behindDoc="0" locked="0" layoutInCell="1" allowOverlap="1" wp14:anchorId="619C8EC2" wp14:editId="4E1DA036">
              <wp:simplePos x="0" y="0"/>
              <wp:positionH relativeFrom="column">
                <wp:posOffset>0</wp:posOffset>
              </wp:positionH>
              <wp:positionV relativeFrom="paragraph">
                <wp:posOffset>-635</wp:posOffset>
              </wp:positionV>
              <wp:extent cx="5962650" cy="619125"/>
              <wp:effectExtent l="0" t="0" r="0" b="9525"/>
              <wp:wrapNone/>
              <wp:docPr id="2" name="4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A10B4" w14:textId="77777777" w:rsidR="00FB1444" w:rsidRPr="003144A7" w:rsidRDefault="00FB1444" w:rsidP="00FB1444">
                          <w:pPr>
                            <w:jc w:val="center"/>
                            <w:rPr>
                              <w:sz w:val="36"/>
                              <w:lang w:val="es-MX"/>
                            </w:rPr>
                          </w:pPr>
                          <w:r w:rsidRPr="003144A7">
                            <w:rPr>
                              <w:sz w:val="36"/>
                              <w:highlight w:val="yellow"/>
                              <w:lang w:val="es-MX"/>
                            </w:rPr>
                            <w:t>Espacio para logos corporativos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9C8EC2" id="_x0000_t202" coordsize="21600,21600" o:spt="202" path="m,l,21600r21600,l21600,xe">
              <v:stroke joinstyle="miter"/>
              <v:path gradientshapeok="t" o:connecttype="rect"/>
            </v:shapetype>
            <v:shape id="4 Cuadro de texto" o:spid="_x0000_s1026" type="#_x0000_t202" style="position:absolute;left:0;text-align:left;margin-left:0;margin-top:-.05pt;width:469.5pt;height:48.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g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ko+&#10;4swJiyUas+VGVAFYpVhSbQIiqfFxhth7j+jUfoIWi72/j3hJubc6WPpjVgz1SPfuQDH6YRIvJ+fT&#10;0XSCKom66fB8OJqQm+Jo7UNMnxVYRkLJA5YwMyu2NzF10D2EgkUwdXVdG5MP1DZqaQLbCiy4SfmN&#10;6PwPlHGsweDv8Rlk5IDMO8/G0Y3KjdOHo8y7DLOUdkYRxrhvSiNxOdEXYgsplTvEz2hCaQz1GsMe&#10;f3zVa4y7PNAiRwaXDsa2dhBy9nnSjpRVP/aU6Q6PtTnJm8TUrtq+I1ZQ7bAhAnRzFb28rrFqNyKm&#10;OxFwkLDQuBzSLX60AWQdeomzNYRfL90THvsbtZw1OJgljz83IijOzBeHnX8+HI9pkvNhPPkwwkM4&#10;1axONW5jl4CtMMQ15GUWCZ/MXtQB7CPukAVFRZVwEmOXPO3FZerWBe4gqRaLDMLZ9SLduHsvyTXR&#10;Sz350D6K4PvGpdH5CvsRFrNn/dthydLBYpNA17m5ieCO1Z54nPs8Hv2OosVyes6o4yad/wYAAP//&#10;AwBQSwMEFAAGAAgAAAAhABE5h+DdAAAABQEAAA8AAABkcnMvZG93bnJldi54bWxMj81OwzAQhO9I&#10;vIO1SFxQ65RAf9I4FUJAJW40hao3N16SiHgdxW4S3p7lBLcZzWrm23Qz2kb02PnakYLZNAKBVDhT&#10;U6lgnz9PliB80GR04wgVfKOHTXZ5kerEuIHesN+FUnAJ+UQrqEJoEyl9UaHVfupaJM4+XWd1YNuV&#10;0nR64HLbyNsomkura+KFSrf4WGHxtTtbBceb8vDqx5f3Ib6P26dtny8+TK7U9dX4sAYRcAx/x/CL&#10;z+iQMdPJncl40SjgR4KCyQwEh6t4xf7EYnEHMkvlf/rsBwAA//8DAFBLAQItABQABgAIAAAAIQC2&#10;gziS/gAAAOEBAAATAAAAAAAAAAAAAAAAAAAAAABbQ29udGVudF9UeXBlc10ueG1sUEsBAi0AFAAG&#10;AAgAAAAhADj9If/WAAAAlAEAAAsAAAAAAAAAAAAAAAAALwEAAF9yZWxzLy5yZWxzUEsBAi0AFAAG&#10;AAgAAAAhACQZKv6OAgAAkQUAAA4AAAAAAAAAAAAAAAAALgIAAGRycy9lMm9Eb2MueG1sUEsBAi0A&#10;FAAGAAgAAAAhABE5h+DdAAAABQEAAA8AAAAAAAAAAAAAAAAA6AQAAGRycy9kb3ducmV2LnhtbFBL&#10;BQYAAAAABAAEAPMAAADyBQAAAAA=&#10;" fillcolor="white [3201]" stroked="f" strokeweight=".5pt">
              <v:textbox>
                <w:txbxContent>
                  <w:p w14:paraId="099A10B4" w14:textId="77777777" w:rsidR="00FB1444" w:rsidRPr="003144A7" w:rsidRDefault="00FB1444" w:rsidP="00FB1444">
                    <w:pPr>
                      <w:jc w:val="center"/>
                      <w:rPr>
                        <w:sz w:val="36"/>
                        <w:lang w:val="es-MX"/>
                      </w:rPr>
                    </w:pPr>
                    <w:r w:rsidRPr="003144A7">
                      <w:rPr>
                        <w:sz w:val="36"/>
                        <w:highlight w:val="yellow"/>
                        <w:lang w:val="es-MX"/>
                      </w:rPr>
                      <w:t>Espacio para logos corporativos de la empresa que reporta</w:t>
                    </w:r>
                  </w:p>
                </w:txbxContent>
              </v:textbox>
            </v:shape>
          </w:pict>
        </mc:Fallback>
      </mc:AlternateContent>
    </w:r>
  </w:p>
  <w:p w14:paraId="1174ACFF" w14:textId="77777777" w:rsidR="00606A49" w:rsidRDefault="00606A49"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lang w:val="es-CO" w:eastAsia="es-CO"/>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4"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
                      <wpg:cNvGrpSpPr>
                        <a:grpSpLocks/>
                      </wpg:cNvGrpSpPr>
                      <wpg:grpSpPr bwMode="auto">
                        <a:xfrm>
                          <a:off x="2509" y="5552"/>
                          <a:ext cx="2207" cy="898"/>
                          <a:chOff x="837" y="1286"/>
                          <a:chExt cx="1074" cy="434"/>
                        </a:xfrm>
                      </wpg:grpSpPr>
                      <wps:wsp>
                        <wps:cNvPr id="7"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9"/>
                      <wpg:cNvGrpSpPr>
                        <a:grpSpLocks/>
                      </wpg:cNvGrpSpPr>
                      <wpg:grpSpPr bwMode="auto">
                        <a:xfrm>
                          <a:off x="4834" y="5552"/>
                          <a:ext cx="893" cy="898"/>
                          <a:chOff x="1968" y="1286"/>
                          <a:chExt cx="435" cy="434"/>
                        </a:xfrm>
                      </wpg:grpSpPr>
                      <wps:wsp>
                        <wps:cNvPr id="11"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0"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0"/>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F09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F70"/>
    <w:rsid w:val="00322810"/>
    <w:rsid w:val="003245BF"/>
    <w:rsid w:val="00324DE2"/>
    <w:rsid w:val="00325829"/>
    <w:rsid w:val="00327024"/>
    <w:rsid w:val="00330306"/>
    <w:rsid w:val="003306F2"/>
    <w:rsid w:val="003327F2"/>
    <w:rsid w:val="00333F38"/>
    <w:rsid w:val="00334E20"/>
    <w:rsid w:val="00337EBA"/>
    <w:rsid w:val="00340BFE"/>
    <w:rsid w:val="00344F56"/>
    <w:rsid w:val="003466A2"/>
    <w:rsid w:val="0035031D"/>
    <w:rsid w:val="00350870"/>
    <w:rsid w:val="00352AC6"/>
    <w:rsid w:val="00352C72"/>
    <w:rsid w:val="003538A8"/>
    <w:rsid w:val="003545FB"/>
    <w:rsid w:val="003549A6"/>
    <w:rsid w:val="00354BC7"/>
    <w:rsid w:val="00355815"/>
    <w:rsid w:val="00356262"/>
    <w:rsid w:val="003617B9"/>
    <w:rsid w:val="00361C62"/>
    <w:rsid w:val="003637F9"/>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94C"/>
    <w:rsid w:val="003D18F7"/>
    <w:rsid w:val="003D25F2"/>
    <w:rsid w:val="003D2CC0"/>
    <w:rsid w:val="003D37DA"/>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2B2A"/>
    <w:rsid w:val="004F3938"/>
    <w:rsid w:val="004F5D22"/>
    <w:rsid w:val="004F794B"/>
    <w:rsid w:val="00500941"/>
    <w:rsid w:val="00501BA5"/>
    <w:rsid w:val="00501EC7"/>
    <w:rsid w:val="00503380"/>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2FB2"/>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451C"/>
    <w:rsid w:val="006152DF"/>
    <w:rsid w:val="006177E9"/>
    <w:rsid w:val="006178EE"/>
    <w:rsid w:val="00617D90"/>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6F53"/>
    <w:rsid w:val="006774E6"/>
    <w:rsid w:val="00677D8E"/>
    <w:rsid w:val="00680625"/>
    <w:rsid w:val="00680D79"/>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03F7"/>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0792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2C8"/>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24F5"/>
    <w:rsid w:val="009226B6"/>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4855"/>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D76"/>
    <w:rsid w:val="00A12DE2"/>
    <w:rsid w:val="00A13426"/>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3750B"/>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67E06"/>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1EF6"/>
    <w:rsid w:val="00B42505"/>
    <w:rsid w:val="00B46703"/>
    <w:rsid w:val="00B46924"/>
    <w:rsid w:val="00B46F7F"/>
    <w:rsid w:val="00B47627"/>
    <w:rsid w:val="00B505C0"/>
    <w:rsid w:val="00B51D5B"/>
    <w:rsid w:val="00B526DA"/>
    <w:rsid w:val="00B531E2"/>
    <w:rsid w:val="00B53323"/>
    <w:rsid w:val="00B53417"/>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409C"/>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9F8"/>
    <w:rsid w:val="00C0714A"/>
    <w:rsid w:val="00C11509"/>
    <w:rsid w:val="00C13D95"/>
    <w:rsid w:val="00C1702B"/>
    <w:rsid w:val="00C176B6"/>
    <w:rsid w:val="00C21762"/>
    <w:rsid w:val="00C24C19"/>
    <w:rsid w:val="00C30300"/>
    <w:rsid w:val="00C30646"/>
    <w:rsid w:val="00C30DCC"/>
    <w:rsid w:val="00C32498"/>
    <w:rsid w:val="00C32857"/>
    <w:rsid w:val="00C33645"/>
    <w:rsid w:val="00C3723B"/>
    <w:rsid w:val="00C401D2"/>
    <w:rsid w:val="00C40DB1"/>
    <w:rsid w:val="00C41132"/>
    <w:rsid w:val="00C41EE6"/>
    <w:rsid w:val="00C43547"/>
    <w:rsid w:val="00C43B49"/>
    <w:rsid w:val="00C47053"/>
    <w:rsid w:val="00C471C9"/>
    <w:rsid w:val="00C474AC"/>
    <w:rsid w:val="00C47A2B"/>
    <w:rsid w:val="00C51837"/>
    <w:rsid w:val="00C543FD"/>
    <w:rsid w:val="00C56E0C"/>
    <w:rsid w:val="00C57044"/>
    <w:rsid w:val="00C6176A"/>
    <w:rsid w:val="00C63C3B"/>
    <w:rsid w:val="00C65988"/>
    <w:rsid w:val="00C71191"/>
    <w:rsid w:val="00C71B92"/>
    <w:rsid w:val="00C71BB8"/>
    <w:rsid w:val="00C71FC2"/>
    <w:rsid w:val="00C74AB7"/>
    <w:rsid w:val="00C74F63"/>
    <w:rsid w:val="00C7685A"/>
    <w:rsid w:val="00C77788"/>
    <w:rsid w:val="00C82F07"/>
    <w:rsid w:val="00C84B4D"/>
    <w:rsid w:val="00C850C7"/>
    <w:rsid w:val="00C874CD"/>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25EE0"/>
    <w:rsid w:val="00D304C0"/>
    <w:rsid w:val="00D313A3"/>
    <w:rsid w:val="00D32EAE"/>
    <w:rsid w:val="00D35111"/>
    <w:rsid w:val="00D35405"/>
    <w:rsid w:val="00D35DDB"/>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569B"/>
    <w:rsid w:val="00E57ACC"/>
    <w:rsid w:val="00E60633"/>
    <w:rsid w:val="00E6375E"/>
    <w:rsid w:val="00E643E6"/>
    <w:rsid w:val="00E64F9D"/>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5F09"/>
    <w:rsid w:val="00E967EE"/>
    <w:rsid w:val="00E96CD9"/>
    <w:rsid w:val="00E978B9"/>
    <w:rsid w:val="00E97C22"/>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45C"/>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1444"/>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Ttulo">
    <w:name w:val="Title"/>
    <w:basedOn w:val="Normal"/>
    <w:link w:val="TtuloCar"/>
    <w:qFormat/>
    <w:rsid w:val="00E82F2F"/>
    <w:pPr>
      <w:jc w:val="center"/>
    </w:pPr>
    <w:rPr>
      <w:rFonts w:ascii="Arial" w:hAnsi="Arial"/>
      <w:b/>
      <w:szCs w:val="20"/>
      <w:lang w:val="es-ES_tradnl"/>
    </w:rPr>
  </w:style>
  <w:style w:type="character" w:customStyle="1" w:styleId="TtuloCar">
    <w:name w:val="Título Car"/>
    <w:basedOn w:val="Fuentedeprrafopredeter"/>
    <w:link w:val="Ttul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1780">
      <w:bodyDiv w:val="1"/>
      <w:marLeft w:val="0"/>
      <w:marRight w:val="0"/>
      <w:marTop w:val="0"/>
      <w:marBottom w:val="0"/>
      <w:divBdr>
        <w:top w:val="none" w:sz="0" w:space="0" w:color="auto"/>
        <w:left w:val="none" w:sz="0" w:space="0" w:color="auto"/>
        <w:bottom w:val="none" w:sz="0" w:space="0" w:color="auto"/>
        <w:right w:val="none" w:sz="0" w:space="0" w:color="auto"/>
      </w:divBdr>
    </w:div>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349528662">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D98B11629DCC4CAFC9220AD769DAC3" ma:contentTypeVersion="2" ma:contentTypeDescription="Crear nuevo documento." ma:contentTypeScope="" ma:versionID="e43c5c89b9b610cf0a1ebc57355111cf">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A8C9-43D2-492A-B072-225154D19B08}">
  <ds:schemaRefs>
    <ds:schemaRef ds:uri="http://purl.org/dc/terms/"/>
    <ds:schemaRef ds:uri="http://schemas.microsoft.com/office/2006/documentManagement/types"/>
    <ds:schemaRef ds:uri="http://purl.org/dc/dcmitype/"/>
    <ds:schemaRef ds:uri="http://schemas.microsoft.com/office/2006/metadata/properties"/>
    <ds:schemaRef ds:uri="4afde810-2293-4670-bb5c-117753097ca5"/>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173ECF7-F5BB-4ED3-AACA-8E7BEFC9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de810-2293-4670-bb5c-117753097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A3ABF-7ECB-4112-9E2C-AC4745F1CDC9}">
  <ds:schemaRefs>
    <ds:schemaRef ds:uri="http://schemas.microsoft.com/sharepoint/v3/contenttype/forms"/>
  </ds:schemaRefs>
</ds:datastoreItem>
</file>

<file path=customXml/itemProps4.xml><?xml version="1.0" encoding="utf-8"?>
<ds:datastoreItem xmlns:ds="http://schemas.openxmlformats.org/officeDocument/2006/customXml" ds:itemID="{694BFB7A-6023-4B85-BDDA-4ACBD6E0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1345</Words>
  <Characters>7669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8997</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Yenny Andrea Rincon Cuenca</cp:lastModifiedBy>
  <cp:revision>6</cp:revision>
  <cp:lastPrinted>2019-02-08T14:46:00Z</cp:lastPrinted>
  <dcterms:created xsi:type="dcterms:W3CDTF">2021-03-01T18:28:00Z</dcterms:created>
  <dcterms:modified xsi:type="dcterms:W3CDTF">2023-11-29T15:04:00Z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0x010100B5D98B11629DCC4CAFC9220AD769DAC3</vt:lpwstr>
  </property>
</Properties>
</file>